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52"/>
          <w:szCs w:val="52"/>
        </w:rPr>
      </w:pPr>
    </w:p>
    <w:p>
      <w:pPr>
        <w:jc w:val="center"/>
        <w:rPr>
          <w:sz w:val="52"/>
          <w:szCs w:val="52"/>
        </w:rPr>
      </w:pPr>
    </w:p>
    <w:p>
      <w:pPr>
        <w:spacing w:before="312" w:beforeLines="100"/>
        <w:jc w:val="center"/>
        <w:rPr>
          <w:rFonts w:hint="eastAsia"/>
          <w:sz w:val="48"/>
          <w:szCs w:val="48"/>
        </w:rPr>
      </w:pPr>
      <w:r>
        <w:rPr>
          <w:rFonts w:hint="eastAsia"/>
          <w:sz w:val="48"/>
          <w:szCs w:val="48"/>
        </w:rPr>
        <w:t>浙江汉达机械有限公司年产</w:t>
      </w:r>
      <w:r>
        <w:rPr>
          <w:rFonts w:hint="eastAsia"/>
          <w:sz w:val="48"/>
          <w:szCs w:val="48"/>
          <w:lang w:val="en-US" w:eastAsia="zh-CN"/>
        </w:rPr>
        <w:t>5</w:t>
      </w:r>
      <w:r>
        <w:rPr>
          <w:rFonts w:hint="eastAsia"/>
          <w:sz w:val="48"/>
          <w:szCs w:val="48"/>
        </w:rPr>
        <w:t>00台</w:t>
      </w:r>
    </w:p>
    <w:p>
      <w:pPr>
        <w:spacing w:before="312" w:beforeLines="100"/>
        <w:jc w:val="center"/>
        <w:rPr>
          <w:rFonts w:hint="eastAsia"/>
          <w:sz w:val="52"/>
          <w:szCs w:val="52"/>
        </w:rPr>
      </w:pPr>
      <w:r>
        <w:rPr>
          <w:rFonts w:hint="eastAsia"/>
          <w:sz w:val="48"/>
          <w:szCs w:val="48"/>
          <w:lang w:eastAsia="zh-CN"/>
        </w:rPr>
        <w:t>数控组合机床技改</w:t>
      </w:r>
      <w:r>
        <w:rPr>
          <w:rFonts w:hint="eastAsia"/>
          <w:sz w:val="48"/>
          <w:szCs w:val="48"/>
        </w:rPr>
        <w:t>项目</w:t>
      </w:r>
    </w:p>
    <w:p>
      <w:pPr>
        <w:jc w:val="center"/>
        <w:rPr>
          <w:sz w:val="52"/>
          <w:szCs w:val="52"/>
        </w:rPr>
      </w:pPr>
    </w:p>
    <w:p>
      <w:pPr>
        <w:jc w:val="center"/>
        <w:rPr>
          <w:sz w:val="52"/>
          <w:szCs w:val="52"/>
        </w:rPr>
      </w:pPr>
    </w:p>
    <w:p>
      <w:pPr>
        <w:jc w:val="center"/>
        <w:rPr>
          <w:sz w:val="52"/>
          <w:szCs w:val="52"/>
        </w:rPr>
      </w:pPr>
    </w:p>
    <w:p>
      <w:pPr>
        <w:jc w:val="center"/>
        <w:rPr>
          <w:sz w:val="52"/>
          <w:szCs w:val="52"/>
        </w:rPr>
      </w:pPr>
    </w:p>
    <w:p>
      <w:pPr>
        <w:jc w:val="center"/>
        <w:rPr>
          <w:sz w:val="52"/>
          <w:szCs w:val="52"/>
        </w:rPr>
      </w:pPr>
    </w:p>
    <w:p>
      <w:pPr>
        <w:jc w:val="center"/>
        <w:rPr>
          <w:sz w:val="52"/>
          <w:szCs w:val="52"/>
        </w:rPr>
      </w:pPr>
      <w:r>
        <w:rPr>
          <w:rFonts w:hint="eastAsia"/>
          <w:sz w:val="52"/>
          <w:szCs w:val="52"/>
        </w:rPr>
        <w:t>环保“三同时”验收资料汇编</w:t>
      </w:r>
    </w:p>
    <w:p>
      <w:pPr>
        <w:jc w:val="center"/>
        <w:rPr>
          <w:sz w:val="52"/>
          <w:szCs w:val="52"/>
        </w:rPr>
      </w:pPr>
    </w:p>
    <w:p>
      <w:pPr>
        <w:jc w:val="center"/>
        <w:rPr>
          <w:sz w:val="52"/>
          <w:szCs w:val="52"/>
        </w:rPr>
      </w:pPr>
    </w:p>
    <w:p>
      <w:pPr>
        <w:jc w:val="center"/>
        <w:rPr>
          <w:sz w:val="52"/>
          <w:szCs w:val="52"/>
        </w:rPr>
      </w:pPr>
    </w:p>
    <w:p>
      <w:pPr>
        <w:jc w:val="center"/>
        <w:rPr>
          <w:sz w:val="52"/>
          <w:szCs w:val="52"/>
        </w:rPr>
      </w:pPr>
    </w:p>
    <w:p>
      <w:pPr>
        <w:jc w:val="center"/>
        <w:rPr>
          <w:sz w:val="52"/>
          <w:szCs w:val="52"/>
        </w:rPr>
      </w:pPr>
    </w:p>
    <w:p>
      <w:pPr>
        <w:jc w:val="center"/>
        <w:rPr>
          <w:rFonts w:hint="eastAsia"/>
          <w:sz w:val="48"/>
          <w:szCs w:val="48"/>
        </w:rPr>
      </w:pPr>
      <w:r>
        <w:rPr>
          <w:rFonts w:hint="eastAsia"/>
          <w:sz w:val="48"/>
          <w:szCs w:val="48"/>
        </w:rPr>
        <w:t>浙江汉达机械有限公司</w:t>
      </w:r>
    </w:p>
    <w:p>
      <w:pPr>
        <w:jc w:val="center"/>
        <w:rPr>
          <w:rFonts w:hint="eastAsia"/>
          <w:sz w:val="44"/>
          <w:szCs w:val="44"/>
        </w:rPr>
      </w:pPr>
      <w:r>
        <w:rPr>
          <w:rFonts w:hint="eastAsia"/>
          <w:sz w:val="44"/>
          <w:szCs w:val="44"/>
        </w:rPr>
        <w:t>201</w:t>
      </w:r>
      <w:r>
        <w:rPr>
          <w:rFonts w:hint="eastAsia"/>
          <w:sz w:val="44"/>
          <w:szCs w:val="44"/>
          <w:lang w:val="en-US" w:eastAsia="zh-CN"/>
        </w:rPr>
        <w:t>8</w:t>
      </w:r>
      <w:r>
        <w:rPr>
          <w:rFonts w:hint="eastAsia"/>
          <w:sz w:val="44"/>
          <w:szCs w:val="44"/>
        </w:rPr>
        <w:t>年</w:t>
      </w:r>
      <w:r>
        <w:rPr>
          <w:rFonts w:hint="eastAsia"/>
          <w:sz w:val="44"/>
          <w:szCs w:val="44"/>
          <w:lang w:val="en-US" w:eastAsia="zh-CN"/>
        </w:rPr>
        <w:t>7</w:t>
      </w:r>
      <w:r>
        <w:rPr>
          <w:rFonts w:hint="eastAsia"/>
          <w:sz w:val="44"/>
          <w:szCs w:val="44"/>
        </w:rPr>
        <w:t>月</w:t>
      </w:r>
    </w:p>
    <w:p>
      <w:pPr>
        <w:jc w:val="center"/>
        <w:rPr>
          <w:rFonts w:hint="eastAsia"/>
          <w:sz w:val="44"/>
          <w:szCs w:val="44"/>
        </w:rPr>
      </w:pPr>
    </w:p>
    <w:p>
      <w:pPr>
        <w:jc w:val="center"/>
        <w:rPr>
          <w:rFonts w:hint="eastAsia"/>
          <w:sz w:val="44"/>
          <w:szCs w:val="44"/>
        </w:rPr>
      </w:pPr>
    </w:p>
    <w:p>
      <w:pPr>
        <w:jc w:val="center"/>
        <w:rPr>
          <w:rFonts w:hint="eastAsia"/>
          <w:sz w:val="44"/>
          <w:szCs w:val="44"/>
        </w:rPr>
      </w:pPr>
    </w:p>
    <w:p>
      <w:pPr>
        <w:pStyle w:val="2"/>
        <w:rPr>
          <w:rFonts w:hint="eastAsia"/>
          <w:sz w:val="32"/>
          <w:szCs w:val="32"/>
        </w:rPr>
        <w:sectPr>
          <w:pgSz w:w="11906" w:h="16838"/>
          <w:pgMar w:top="1440" w:right="1800" w:bottom="1440" w:left="1800" w:header="851" w:footer="992" w:gutter="0"/>
          <w:cols w:space="425" w:num="1"/>
          <w:docGrid w:type="lines" w:linePitch="312" w:charSpace="0"/>
        </w:sectPr>
      </w:pPr>
    </w:p>
    <w:sdt>
      <w:sdtPr>
        <w:rPr>
          <w:rFonts w:ascii="宋体" w:hAnsi="宋体" w:eastAsia="宋体" w:cs="Times New Roman"/>
          <w:sz w:val="30"/>
          <w:szCs w:val="30"/>
          <w:lang w:val="en-US" w:eastAsia="zh-CN" w:bidi="ar-SA"/>
        </w:rPr>
        <w:id w:val="147474233"/>
        <w:docPartObj>
          <w:docPartGallery w:val="Table of Contents"/>
          <w:docPartUnique/>
        </w:docPartObj>
      </w:sdtPr>
      <w:sdtEndPr>
        <w:rPr>
          <w:sz w:val="20"/>
          <w:szCs w:val="20"/>
        </w:rPr>
      </w:sdtEndPr>
      <w:sdtContent>
        <w:p>
          <w:pPr>
            <w:spacing w:before="0" w:beforeLines="0" w:after="0" w:afterLines="0" w:line="240" w:lineRule="auto"/>
            <w:ind w:left="0" w:leftChars="0" w:right="0" w:rightChars="0" w:firstLine="0" w:firstLineChars="0"/>
            <w:jc w:val="center"/>
            <w:rPr>
              <w:sz w:val="30"/>
              <w:szCs w:val="30"/>
            </w:rPr>
          </w:pPr>
          <w:bookmarkStart w:id="0" w:name="_Toc22210_WPSOffice_Type1"/>
          <w:r>
            <w:rPr>
              <w:rFonts w:ascii="宋体" w:hAnsi="宋体" w:eastAsia="宋体"/>
              <w:sz w:val="30"/>
              <w:szCs w:val="30"/>
            </w:rPr>
            <w:t>目录</w:t>
          </w:r>
        </w:p>
        <w:p>
          <w:pPr>
            <w:pStyle w:val="17"/>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_Toc20423_WPSOffice_Level1 </w:instrText>
          </w:r>
          <w:r>
            <w:rPr>
              <w:sz w:val="24"/>
              <w:szCs w:val="24"/>
            </w:rPr>
            <w:fldChar w:fldCharType="separate"/>
          </w:r>
          <w:sdt>
            <w:sdtPr>
              <w:rPr>
                <w:rFonts w:ascii="Times New Roman" w:hAnsi="Times New Roman" w:eastAsia="宋体" w:cs="Times New Roman"/>
                <w:sz w:val="24"/>
                <w:szCs w:val="24"/>
                <w:lang w:val="en-US" w:eastAsia="zh-CN" w:bidi="ar-SA"/>
              </w:rPr>
              <w:id w:val="147474233"/>
              <w:placeholder>
                <w:docPart w:val="{53610855-36ff-45ba-b37e-586f3b9fd3c5}"/>
              </w:placeholder>
            </w:sdtPr>
            <w:sdtEndPr>
              <w:rPr>
                <w:rFonts w:ascii="Times New Roman" w:hAnsi="Times New Roman" w:eastAsia="宋体" w:cs="Times New Roman"/>
                <w:sz w:val="24"/>
                <w:szCs w:val="24"/>
                <w:lang w:val="en-US" w:eastAsia="zh-CN" w:bidi="ar-SA"/>
              </w:rPr>
            </w:sdtEndPr>
            <w:sdtContent>
              <w:r>
                <w:rPr>
                  <w:rFonts w:hint="eastAsia" w:ascii="Times New Roman" w:hAnsi="Times New Roman" w:eastAsia="宋体" w:cs="Times New Roman"/>
                  <w:sz w:val="24"/>
                  <w:szCs w:val="24"/>
                </w:rPr>
                <w:t>浙江汉达机械有限公司年产500台数控组合机床技改项目</w:t>
              </w:r>
            </w:sdtContent>
          </w:sdt>
          <w:r>
            <w:rPr>
              <w:sz w:val="24"/>
              <w:szCs w:val="24"/>
            </w:rPr>
            <w:tab/>
          </w:r>
          <w:bookmarkStart w:id="1" w:name="_Toc20423_WPSOffice_Level1Page"/>
          <w:r>
            <w:rPr>
              <w:sz w:val="24"/>
              <w:szCs w:val="24"/>
            </w:rPr>
            <w:t>1</w:t>
          </w:r>
          <w:bookmarkEnd w:id="1"/>
          <w:r>
            <w:rPr>
              <w:sz w:val="24"/>
              <w:szCs w:val="24"/>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_Toc22210_WPSOffice_Level1 </w:instrText>
          </w:r>
          <w:r>
            <w:rPr>
              <w:sz w:val="24"/>
              <w:szCs w:val="24"/>
            </w:rPr>
            <w:fldChar w:fldCharType="separate"/>
          </w:r>
          <w:sdt>
            <w:sdtPr>
              <w:rPr>
                <w:rFonts w:ascii="Times New Roman" w:hAnsi="Times New Roman" w:eastAsia="宋体" w:cs="Times New Roman"/>
                <w:sz w:val="24"/>
                <w:szCs w:val="24"/>
                <w:lang w:val="en-US" w:eastAsia="zh-CN" w:bidi="ar-SA"/>
              </w:rPr>
              <w:id w:val="147474233"/>
              <w:placeholder>
                <w:docPart w:val="{66919170-628d-4b33-85bb-0f33a3721b93}"/>
              </w:placeholder>
            </w:sdtPr>
            <w:sdtEndPr>
              <w:rPr>
                <w:rFonts w:ascii="Times New Roman" w:hAnsi="Times New Roman" w:eastAsia="宋体" w:cs="Times New Roman"/>
                <w:sz w:val="24"/>
                <w:szCs w:val="24"/>
                <w:lang w:val="en-US" w:eastAsia="zh-CN" w:bidi="ar-SA"/>
              </w:rPr>
            </w:sdtEndPr>
            <w:sdtContent>
              <w:r>
                <w:rPr>
                  <w:rFonts w:hint="eastAsia" w:ascii="Times New Roman" w:hAnsi="Times New Roman" w:eastAsia="宋体" w:cs="Times New Roman"/>
                  <w:sz w:val="24"/>
                  <w:szCs w:val="24"/>
                </w:rPr>
                <w:t>环境保护设施竣工验收意见</w:t>
              </w:r>
            </w:sdtContent>
          </w:sdt>
          <w:r>
            <w:rPr>
              <w:sz w:val="24"/>
              <w:szCs w:val="24"/>
            </w:rPr>
            <w:tab/>
          </w:r>
          <w:bookmarkStart w:id="2" w:name="_Toc22210_WPSOffice_Level1Page"/>
          <w:r>
            <w:rPr>
              <w:sz w:val="24"/>
              <w:szCs w:val="24"/>
            </w:rPr>
            <w:t>1</w:t>
          </w:r>
          <w:bookmarkEnd w:id="2"/>
          <w:r>
            <w:rPr>
              <w:sz w:val="24"/>
              <w:szCs w:val="24"/>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_Toc12433_WPSOffice_Level1 </w:instrText>
          </w:r>
          <w:r>
            <w:rPr>
              <w:sz w:val="24"/>
              <w:szCs w:val="24"/>
            </w:rPr>
            <w:fldChar w:fldCharType="separate"/>
          </w:r>
          <w:sdt>
            <w:sdtPr>
              <w:rPr>
                <w:rFonts w:ascii="Times New Roman" w:hAnsi="Times New Roman" w:eastAsia="宋体" w:cs="Times New Roman"/>
                <w:sz w:val="24"/>
                <w:szCs w:val="24"/>
                <w:lang w:val="en-US" w:eastAsia="zh-CN" w:bidi="ar-SA"/>
              </w:rPr>
              <w:id w:val="147474233"/>
              <w:placeholder>
                <w:docPart w:val="{15771bf3-e299-4859-9d24-96b18d75694a}"/>
              </w:placeholder>
            </w:sdtPr>
            <w:sdtEndPr>
              <w:rPr>
                <w:rFonts w:ascii="Times New Roman" w:hAnsi="Times New Roman" w:eastAsia="宋体" w:cs="Times New Roman"/>
                <w:sz w:val="24"/>
                <w:szCs w:val="24"/>
                <w:lang w:val="en-US" w:eastAsia="zh-CN" w:bidi="ar-SA"/>
              </w:rPr>
            </w:sdtEndPr>
            <w:sdtContent>
              <w:r>
                <w:rPr>
                  <w:rFonts w:hint="eastAsia" w:ascii="Times New Roman" w:hAnsi="Times New Roman" w:eastAsia="宋体" w:cs="Times New Roman"/>
                  <w:sz w:val="24"/>
                  <w:szCs w:val="24"/>
                </w:rPr>
                <w:t>验收签到单</w:t>
              </w:r>
            </w:sdtContent>
          </w:sdt>
          <w:r>
            <w:rPr>
              <w:sz w:val="24"/>
              <w:szCs w:val="24"/>
            </w:rPr>
            <w:tab/>
          </w:r>
          <w:bookmarkStart w:id="3" w:name="_Toc12433_WPSOffice_Level1Page"/>
          <w:r>
            <w:rPr>
              <w:sz w:val="24"/>
              <w:szCs w:val="24"/>
            </w:rPr>
            <w:t>6</w:t>
          </w:r>
          <w:bookmarkEnd w:id="3"/>
          <w:r>
            <w:rPr>
              <w:sz w:val="24"/>
              <w:szCs w:val="24"/>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_Toc9371_WPSOffice_Level1 </w:instrText>
          </w:r>
          <w:r>
            <w:rPr>
              <w:sz w:val="24"/>
              <w:szCs w:val="24"/>
            </w:rPr>
            <w:fldChar w:fldCharType="separate"/>
          </w:r>
          <w:sdt>
            <w:sdtPr>
              <w:rPr>
                <w:rFonts w:ascii="Times New Roman" w:hAnsi="Times New Roman" w:eastAsia="宋体" w:cs="Times New Roman"/>
                <w:sz w:val="24"/>
                <w:szCs w:val="24"/>
                <w:lang w:val="en-US" w:eastAsia="zh-CN" w:bidi="ar-SA"/>
              </w:rPr>
              <w:id w:val="147474233"/>
              <w:placeholder>
                <w:docPart w:val="{a71d27e4-4557-4969-86c0-b0e25862ef4a}"/>
              </w:placeholder>
            </w:sdtPr>
            <w:sdtEndPr>
              <w:rPr>
                <w:rFonts w:ascii="Times New Roman" w:hAnsi="Times New Roman" w:eastAsia="宋体" w:cs="Times New Roman"/>
                <w:sz w:val="24"/>
                <w:szCs w:val="24"/>
                <w:lang w:val="en-US" w:eastAsia="zh-CN" w:bidi="ar-SA"/>
              </w:rPr>
            </w:sdtEndPr>
            <w:sdtContent>
              <w:r>
                <w:rPr>
                  <w:rFonts w:hint="default" w:ascii="Times New Roman" w:hAnsi="Times New Roman" w:eastAsia="宋体" w:cs="Times New Roman"/>
                  <w:sz w:val="24"/>
                  <w:szCs w:val="24"/>
                </w:rPr>
                <w:t>浙江汉达机械有限公司</w:t>
              </w:r>
            </w:sdtContent>
          </w:sdt>
          <w:r>
            <w:rPr>
              <w:sz w:val="24"/>
              <w:szCs w:val="24"/>
            </w:rPr>
            <w:tab/>
          </w:r>
          <w:bookmarkStart w:id="4" w:name="_Toc9371_WPSOffice_Level1Page"/>
          <w:r>
            <w:rPr>
              <w:sz w:val="24"/>
              <w:szCs w:val="24"/>
            </w:rPr>
            <w:t>7</w:t>
          </w:r>
          <w:bookmarkEnd w:id="4"/>
          <w:r>
            <w:rPr>
              <w:sz w:val="24"/>
              <w:szCs w:val="24"/>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_Toc15227_WPSOffice_Level1 </w:instrText>
          </w:r>
          <w:r>
            <w:rPr>
              <w:sz w:val="24"/>
              <w:szCs w:val="24"/>
            </w:rPr>
            <w:fldChar w:fldCharType="separate"/>
          </w:r>
          <w:sdt>
            <w:sdtPr>
              <w:rPr>
                <w:rFonts w:ascii="Times New Roman" w:hAnsi="Times New Roman" w:eastAsia="宋体" w:cs="Times New Roman"/>
                <w:sz w:val="24"/>
                <w:szCs w:val="24"/>
                <w:lang w:val="en-US" w:eastAsia="zh-CN" w:bidi="ar-SA"/>
              </w:rPr>
              <w:id w:val="147474233"/>
              <w:placeholder>
                <w:docPart w:val="{df3453e9-83d2-41b7-830f-43ba33468bbd}"/>
              </w:placeholder>
            </w:sdtPr>
            <w:sdtEndPr>
              <w:rPr>
                <w:rFonts w:ascii="Times New Roman" w:hAnsi="Times New Roman" w:eastAsia="宋体" w:cs="Times New Roman"/>
                <w:sz w:val="24"/>
                <w:szCs w:val="24"/>
                <w:lang w:val="en-US" w:eastAsia="zh-CN" w:bidi="ar-SA"/>
              </w:rPr>
            </w:sdtEndPr>
            <w:sdtContent>
              <w:r>
                <w:rPr>
                  <w:rFonts w:hint="default" w:ascii="Times New Roman" w:hAnsi="Times New Roman" w:eastAsia="宋体" w:cs="Times New Roman"/>
                  <w:sz w:val="24"/>
                  <w:szCs w:val="24"/>
                </w:rPr>
                <w:t>年产500台数控组合机床技改项整改工作情况</w:t>
              </w:r>
            </w:sdtContent>
          </w:sdt>
          <w:r>
            <w:rPr>
              <w:sz w:val="24"/>
              <w:szCs w:val="24"/>
            </w:rPr>
            <w:tab/>
          </w:r>
          <w:bookmarkStart w:id="5" w:name="_Toc15227_WPSOffice_Level1Page"/>
          <w:r>
            <w:rPr>
              <w:sz w:val="24"/>
              <w:szCs w:val="24"/>
            </w:rPr>
            <w:t>7</w:t>
          </w:r>
          <w:bookmarkEnd w:id="5"/>
          <w:r>
            <w:rPr>
              <w:sz w:val="24"/>
              <w:szCs w:val="24"/>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_Toc31401_WPSOffice_Level1 </w:instrText>
          </w:r>
          <w:r>
            <w:rPr>
              <w:sz w:val="24"/>
              <w:szCs w:val="24"/>
            </w:rPr>
            <w:fldChar w:fldCharType="separate"/>
          </w:r>
          <w:sdt>
            <w:sdtPr>
              <w:rPr>
                <w:rFonts w:ascii="Times New Roman" w:hAnsi="Times New Roman" w:eastAsia="宋体" w:cs="Times New Roman"/>
                <w:sz w:val="24"/>
                <w:szCs w:val="24"/>
                <w:lang w:val="en-US" w:eastAsia="zh-CN" w:bidi="ar-SA"/>
              </w:rPr>
              <w:id w:val="147474233"/>
              <w:placeholder>
                <w:docPart w:val="{4e335d49-0980-475e-b731-da127d4d2035}"/>
              </w:placeholder>
            </w:sdtPr>
            <w:sdtEndPr>
              <w:rPr>
                <w:rFonts w:ascii="Times New Roman" w:hAnsi="Times New Roman" w:eastAsia="宋体" w:cs="Times New Roman"/>
                <w:sz w:val="24"/>
                <w:szCs w:val="24"/>
                <w:lang w:val="en-US" w:eastAsia="zh-CN" w:bidi="ar-SA"/>
              </w:rPr>
            </w:sdtEndPr>
            <w:sdtContent>
              <w:r>
                <w:rPr>
                  <w:rFonts w:hint="eastAsia" w:ascii="Times New Roman" w:hAnsi="Times New Roman" w:eastAsia="宋体" w:cs="Times New Roman"/>
                  <w:sz w:val="24"/>
                  <w:szCs w:val="24"/>
                </w:rPr>
                <w:t>废气处理设计方案</w:t>
              </w:r>
            </w:sdtContent>
          </w:sdt>
          <w:r>
            <w:rPr>
              <w:sz w:val="24"/>
              <w:szCs w:val="24"/>
            </w:rPr>
            <w:tab/>
          </w:r>
          <w:bookmarkStart w:id="6" w:name="_Toc31401_WPSOffice_Level1Page"/>
          <w:r>
            <w:rPr>
              <w:sz w:val="24"/>
              <w:szCs w:val="24"/>
            </w:rPr>
            <w:t>19</w:t>
          </w:r>
          <w:bookmarkEnd w:id="6"/>
          <w:r>
            <w:rPr>
              <w:sz w:val="24"/>
              <w:szCs w:val="24"/>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outlineLvl w:val="9"/>
            <w:rPr>
              <w:sz w:val="24"/>
              <w:szCs w:val="24"/>
            </w:rPr>
          </w:pPr>
          <w:r>
            <w:rPr>
              <w:sz w:val="24"/>
              <w:szCs w:val="24"/>
            </w:rPr>
            <w:fldChar w:fldCharType="begin"/>
          </w:r>
          <w:r>
            <w:rPr>
              <w:sz w:val="24"/>
              <w:szCs w:val="24"/>
            </w:rPr>
            <w:instrText xml:space="preserve"> HYPERLINK \l _Toc23585_WPSOffice_Level1 </w:instrText>
          </w:r>
          <w:r>
            <w:rPr>
              <w:sz w:val="24"/>
              <w:szCs w:val="24"/>
            </w:rPr>
            <w:fldChar w:fldCharType="separate"/>
          </w:r>
          <w:sdt>
            <w:sdtPr>
              <w:rPr>
                <w:rFonts w:ascii="Times New Roman" w:hAnsi="Times New Roman" w:eastAsia="宋体" w:cs="Times New Roman"/>
                <w:sz w:val="24"/>
                <w:szCs w:val="24"/>
                <w:lang w:val="en-US" w:eastAsia="zh-CN" w:bidi="ar-SA"/>
              </w:rPr>
              <w:id w:val="147474233"/>
              <w:placeholder>
                <w:docPart w:val="{b98c1493-2a9c-43bf-87ac-cfc5ca0deb8f}"/>
              </w:placeholder>
            </w:sdtPr>
            <w:sdtEndPr>
              <w:rPr>
                <w:rFonts w:ascii="Times New Roman" w:hAnsi="Times New Roman" w:eastAsia="宋体" w:cs="Times New Roman"/>
                <w:sz w:val="24"/>
                <w:szCs w:val="24"/>
                <w:lang w:val="en-US" w:eastAsia="zh-CN" w:bidi="ar-SA"/>
              </w:rPr>
            </w:sdtEndPr>
            <w:sdtContent>
              <w:r>
                <w:rPr>
                  <w:rFonts w:hint="eastAsia" w:ascii="Times New Roman" w:hAnsi="Times New Roman" w:eastAsia="宋体" w:cs="Times New Roman"/>
                  <w:sz w:val="24"/>
                  <w:szCs w:val="24"/>
                </w:rPr>
                <w:t>等离子废气净化器说明</w:t>
              </w:r>
            </w:sdtContent>
          </w:sdt>
          <w:r>
            <w:rPr>
              <w:sz w:val="24"/>
              <w:szCs w:val="24"/>
            </w:rPr>
            <w:tab/>
          </w:r>
          <w:bookmarkStart w:id="7" w:name="_Toc23585_WPSOffice_Level1Page"/>
          <w:r>
            <w:rPr>
              <w:sz w:val="24"/>
              <w:szCs w:val="24"/>
            </w:rPr>
            <w:t>34</w:t>
          </w:r>
          <w:bookmarkEnd w:id="7"/>
          <w:r>
            <w:rPr>
              <w:sz w:val="24"/>
              <w:szCs w:val="24"/>
            </w:rPr>
            <w:fldChar w:fldCharType="end"/>
          </w:r>
        </w:p>
        <w:p>
          <w:pPr>
            <w:pStyle w:val="17"/>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outlineLvl w:val="9"/>
          </w:pPr>
          <w:r>
            <w:rPr>
              <w:sz w:val="24"/>
              <w:szCs w:val="24"/>
            </w:rPr>
            <w:fldChar w:fldCharType="begin"/>
          </w:r>
          <w:r>
            <w:rPr>
              <w:sz w:val="24"/>
              <w:szCs w:val="24"/>
            </w:rPr>
            <w:instrText xml:space="preserve"> HYPERLINK \l _Toc2397_WPSOffice_Level1 </w:instrText>
          </w:r>
          <w:r>
            <w:rPr>
              <w:sz w:val="24"/>
              <w:szCs w:val="24"/>
            </w:rPr>
            <w:fldChar w:fldCharType="separate"/>
          </w:r>
          <w:sdt>
            <w:sdtPr>
              <w:rPr>
                <w:rFonts w:ascii="Times New Roman" w:hAnsi="Times New Roman" w:eastAsia="宋体" w:cs="Times New Roman"/>
                <w:sz w:val="24"/>
                <w:szCs w:val="24"/>
                <w:lang w:val="en-US" w:eastAsia="zh-CN" w:bidi="ar-SA"/>
              </w:rPr>
              <w:id w:val="147474233"/>
              <w:placeholder>
                <w:docPart w:val="{0fe844f7-fdd1-4c83-870e-09e72e7a7c6d}"/>
              </w:placeholder>
            </w:sdtPr>
            <w:sdtEndPr>
              <w:rPr>
                <w:rFonts w:ascii="Times New Roman" w:hAnsi="Times New Roman" w:eastAsia="宋体" w:cs="Times New Roman"/>
                <w:sz w:val="24"/>
                <w:szCs w:val="24"/>
                <w:lang w:val="en-US" w:eastAsia="zh-CN" w:bidi="ar-SA"/>
              </w:rPr>
            </w:sdtEndPr>
            <w:sdtContent>
              <w:r>
                <w:rPr>
                  <w:rFonts w:hint="eastAsia" w:ascii="Times New Roman" w:hAnsi="Times New Roman" w:eastAsia="宋体" w:cs="Times New Roman"/>
                  <w:sz w:val="24"/>
                  <w:szCs w:val="24"/>
                </w:rPr>
                <w:t>活性炭净化器使用说明</w:t>
              </w:r>
            </w:sdtContent>
          </w:sdt>
          <w:r>
            <w:rPr>
              <w:sz w:val="24"/>
              <w:szCs w:val="24"/>
            </w:rPr>
            <w:tab/>
          </w:r>
          <w:bookmarkStart w:id="8" w:name="_Toc2397_WPSOffice_Level1Page"/>
          <w:r>
            <w:rPr>
              <w:sz w:val="24"/>
              <w:szCs w:val="24"/>
            </w:rPr>
            <w:t>37</w:t>
          </w:r>
          <w:bookmarkEnd w:id="8"/>
          <w:r>
            <w:rPr>
              <w:sz w:val="24"/>
              <w:szCs w:val="24"/>
            </w:rPr>
            <w:fldChar w:fldCharType="end"/>
          </w:r>
        </w:p>
        <w:bookmarkEnd w:id="0"/>
        <w:p>
          <w:pPr>
            <w:pStyle w:val="17"/>
            <w:tabs>
              <w:tab w:val="right" w:leader="dot" w:pos="8306"/>
            </w:tabs>
          </w:pPr>
        </w:p>
      </w:sdtContent>
    </w:sdt>
    <w:p>
      <w:pPr>
        <w:spacing w:before="0" w:beforeLines="0" w:after="0" w:afterLines="0" w:line="240" w:lineRule="auto"/>
        <w:ind w:left="0" w:leftChars="0" w:right="0" w:rightChars="0" w:firstLine="0" w:firstLineChars="0"/>
        <w:jc w:val="center"/>
      </w:pPr>
    </w:p>
    <w:p>
      <w:pPr>
        <w:pStyle w:val="2"/>
        <w:rPr>
          <w:rFonts w:hint="eastAsia"/>
          <w:sz w:val="32"/>
          <w:szCs w:val="32"/>
        </w:rPr>
        <w:sectPr>
          <w:pgSz w:w="11906" w:h="16838"/>
          <w:pgMar w:top="1440" w:right="1800" w:bottom="1440" w:left="1800" w:header="851" w:footer="992" w:gutter="0"/>
          <w:cols w:space="425" w:num="1"/>
          <w:docGrid w:type="lines" w:linePitch="312" w:charSpace="0"/>
        </w:sectPr>
      </w:pPr>
    </w:p>
    <w:p>
      <w:pPr>
        <w:pStyle w:val="2"/>
        <w:jc w:val="center"/>
        <w:rPr>
          <w:rFonts w:hint="eastAsia"/>
          <w:sz w:val="32"/>
          <w:szCs w:val="32"/>
        </w:rPr>
      </w:pPr>
      <w:bookmarkStart w:id="9" w:name="_Toc11194_WPSOffice_Level1"/>
      <w:bookmarkStart w:id="10" w:name="_Toc20423_WPSOffice_Level1"/>
      <w:r>
        <w:rPr>
          <w:rFonts w:hint="eastAsia"/>
          <w:sz w:val="32"/>
          <w:szCs w:val="32"/>
        </w:rPr>
        <w:t>浙江汉达机械有限公司年产500台数控组合机床技改项目</w:t>
      </w:r>
      <w:bookmarkEnd w:id="9"/>
      <w:bookmarkEnd w:id="10"/>
    </w:p>
    <w:p>
      <w:pPr>
        <w:pStyle w:val="2"/>
        <w:jc w:val="center"/>
        <w:rPr>
          <w:rFonts w:hint="eastAsia" w:eastAsia="仿宋"/>
          <w:szCs w:val="28"/>
        </w:rPr>
      </w:pPr>
      <w:bookmarkStart w:id="11" w:name="_Toc22210_WPSOffice_Level1"/>
      <w:r>
        <w:rPr>
          <w:rFonts w:hint="eastAsia"/>
          <w:sz w:val="32"/>
          <w:szCs w:val="32"/>
        </w:rPr>
        <w:t>环境保护设施竣工验收意见</w:t>
      </w:r>
      <w:bookmarkEnd w:id="11"/>
    </w:p>
    <w:p>
      <w:pPr>
        <w:widowControl/>
        <w:spacing w:after="156" w:afterLines="50"/>
        <w:ind w:firstLine="560" w:firstLineChars="200"/>
        <w:jc w:val="left"/>
        <w:rPr>
          <w:rFonts w:eastAsia="仿宋"/>
          <w:sz w:val="28"/>
          <w:szCs w:val="28"/>
        </w:rPr>
      </w:pPr>
      <w:r>
        <w:rPr>
          <w:rFonts w:hint="eastAsia" w:eastAsia="仿宋"/>
          <w:sz w:val="28"/>
          <w:szCs w:val="28"/>
        </w:rPr>
        <w:t>根据《建设项目环境保护管理条例》和《建设项目竣工环境保护验收暂行办法》的规定，2018年7月18日，浙江汉达机械有限公司组织召开了年产500台数控组合机床技改项目环境保护设施竣工验收会，参加会议的单位有：</w:t>
      </w:r>
      <w:bookmarkStart w:id="12" w:name="_Hlk519697301"/>
      <w:bookmarkStart w:id="13" w:name="_Hlk514489408"/>
      <w:r>
        <w:rPr>
          <w:rFonts w:hint="eastAsia" w:eastAsia="仿宋"/>
          <w:sz w:val="28"/>
          <w:szCs w:val="28"/>
        </w:rPr>
        <w:t>浙江丽缙园经发局、浙江省工业环保设计研究院有限公司</w:t>
      </w:r>
      <w:bookmarkEnd w:id="12"/>
      <w:r>
        <w:rPr>
          <w:rFonts w:hint="eastAsia" w:eastAsia="仿宋"/>
          <w:sz w:val="28"/>
          <w:szCs w:val="28"/>
        </w:rPr>
        <w:t>（环评单位）、</w:t>
      </w:r>
      <w:bookmarkEnd w:id="13"/>
      <w:r>
        <w:rPr>
          <w:rFonts w:hint="eastAsia" w:eastAsia="仿宋"/>
          <w:sz w:val="28"/>
          <w:szCs w:val="28"/>
        </w:rPr>
        <w:t>绍兴顶研环保设备有限公司（环保设施建设单位）、浙江华普环境科技有限公司（验收监测单位）。按照相关规范要求，成立了自行验收工作组（名单详见附件），与会代表进行了现场检查，经认真讨论，形成意见如下：</w:t>
      </w:r>
    </w:p>
    <w:p>
      <w:pPr>
        <w:pStyle w:val="13"/>
        <w:autoSpaceDE w:val="0"/>
        <w:autoSpaceDN w:val="0"/>
        <w:adjustRightInd w:val="0"/>
        <w:snapToGrid w:val="0"/>
        <w:spacing w:line="480" w:lineRule="exact"/>
        <w:ind w:firstLine="562"/>
        <w:jc w:val="left"/>
        <w:outlineLvl w:val="0"/>
        <w:rPr>
          <w:rFonts w:ascii="Times New Roman" w:hAnsi="Times New Roman" w:eastAsia="仿宋"/>
          <w:b/>
          <w:sz w:val="28"/>
          <w:szCs w:val="28"/>
        </w:rPr>
      </w:pPr>
      <w:bookmarkStart w:id="14" w:name="_Toc3839_WPSOffice_Level1"/>
      <w:bookmarkStart w:id="15" w:name="_Toc4962_WPSOffice_Level1"/>
      <w:r>
        <w:rPr>
          <w:rFonts w:ascii="Times New Roman" w:hAnsi="Times New Roman" w:eastAsia="仿宋"/>
          <w:b/>
          <w:sz w:val="28"/>
          <w:szCs w:val="28"/>
        </w:rPr>
        <w:t>一、工程建设基本情况</w:t>
      </w:r>
      <w:bookmarkEnd w:id="14"/>
      <w:bookmarkEnd w:id="15"/>
    </w:p>
    <w:p>
      <w:pPr>
        <w:pStyle w:val="14"/>
        <w:snapToGrid w:val="0"/>
        <w:spacing w:before="0" w:line="480" w:lineRule="exact"/>
        <w:ind w:firstLine="560"/>
        <w:rPr>
          <w:rFonts w:hint="eastAsia" w:ascii="Times New Roman" w:hAnsi="Times New Roman" w:eastAsia="仿宋"/>
          <w:sz w:val="28"/>
          <w:szCs w:val="28"/>
        </w:rPr>
      </w:pPr>
      <w:r>
        <w:rPr>
          <w:rFonts w:hint="eastAsia" w:ascii="Times New Roman" w:hAnsi="Times New Roman" w:eastAsia="仿宋"/>
          <w:sz w:val="28"/>
          <w:szCs w:val="28"/>
        </w:rPr>
        <w:t>（一）建设地点、规模、主要建设内容</w:t>
      </w:r>
    </w:p>
    <w:p>
      <w:pPr>
        <w:pStyle w:val="14"/>
        <w:snapToGrid w:val="0"/>
        <w:spacing w:line="480" w:lineRule="exact"/>
        <w:ind w:firstLine="560"/>
        <w:rPr>
          <w:rFonts w:eastAsia="仿宋"/>
          <w:sz w:val="28"/>
          <w:szCs w:val="28"/>
        </w:rPr>
      </w:pPr>
      <w:r>
        <w:rPr>
          <w:rFonts w:hint="eastAsia" w:eastAsia="仿宋"/>
          <w:sz w:val="28"/>
          <w:szCs w:val="28"/>
        </w:rPr>
        <w:t>浙江汉达机械有限公司</w:t>
      </w:r>
      <w:r>
        <w:rPr>
          <w:rFonts w:hint="default" w:ascii="Times New Roman" w:hAnsi="Times New Roman" w:eastAsia="仿宋" w:cs="Times New Roman"/>
          <w:sz w:val="28"/>
          <w:szCs w:val="28"/>
        </w:rPr>
        <w:t>年产500台数控组合机床技改项目选址位于丽水市浙江省丽水市缙云县壶镇镇聚贤西路29号，公司总用地面积13379m</w:t>
      </w:r>
      <w:r>
        <w:rPr>
          <w:rFonts w:hint="default" w:ascii="Times New Roman" w:hAnsi="Times New Roman" w:eastAsia="仿宋" w:cs="Times New Roman"/>
          <w:sz w:val="28"/>
          <w:szCs w:val="28"/>
          <w:vertAlign w:val="superscript"/>
        </w:rPr>
        <w:t>2</w:t>
      </w:r>
      <w:r>
        <w:rPr>
          <w:rFonts w:hint="default" w:ascii="Times New Roman" w:hAnsi="Times New Roman" w:eastAsia="仿宋" w:cs="Times New Roman"/>
          <w:sz w:val="28"/>
          <w:szCs w:val="28"/>
        </w:rPr>
        <w:t>，项目主要采用车床加工、喷漆、组装的生产工艺，购置立式加工中心、卧式加工中心、车床、数控车床、磨床、焊接机等国产设备，形成年产500台数控组合机床</w:t>
      </w:r>
      <w:r>
        <w:rPr>
          <w:rFonts w:hint="eastAsia" w:eastAsia="仿宋"/>
          <w:sz w:val="28"/>
          <w:szCs w:val="28"/>
        </w:rPr>
        <w:t>的生产能力。</w:t>
      </w:r>
    </w:p>
    <w:p>
      <w:pPr>
        <w:pStyle w:val="14"/>
        <w:snapToGrid w:val="0"/>
        <w:spacing w:line="480" w:lineRule="exact"/>
        <w:ind w:firstLine="560"/>
        <w:rPr>
          <w:rFonts w:hint="eastAsia" w:ascii="Times New Roman" w:hAnsi="Times New Roman" w:eastAsia="仿宋"/>
          <w:sz w:val="28"/>
          <w:szCs w:val="28"/>
        </w:rPr>
      </w:pPr>
      <w:r>
        <w:rPr>
          <w:rFonts w:hint="eastAsia" w:ascii="Times New Roman" w:hAnsi="Times New Roman" w:eastAsia="仿宋"/>
          <w:sz w:val="28"/>
          <w:szCs w:val="28"/>
        </w:rPr>
        <w:t>（二）建设过程及环保审批情况</w:t>
      </w:r>
    </w:p>
    <w:p>
      <w:pPr>
        <w:spacing w:line="360" w:lineRule="auto"/>
        <w:ind w:firstLine="560" w:firstLineChars="200"/>
        <w:jc w:val="left"/>
        <w:rPr>
          <w:rFonts w:hint="eastAsia" w:eastAsia="仿宋"/>
          <w:sz w:val="28"/>
          <w:szCs w:val="28"/>
        </w:rPr>
      </w:pPr>
      <w:r>
        <w:rPr>
          <w:rFonts w:hint="eastAsia" w:eastAsia="仿宋"/>
          <w:sz w:val="28"/>
          <w:szCs w:val="28"/>
        </w:rPr>
        <w:t>浙江汉达机械有限公司于2017年12月委托浙江省工业环保设计研究院有限公司编制了</w:t>
      </w:r>
      <w:r>
        <w:rPr>
          <w:rFonts w:eastAsia="仿宋"/>
          <w:sz w:val="28"/>
          <w:szCs w:val="28"/>
        </w:rPr>
        <w:t>《浙江汉达机械有限公司年产500台数控组合机床技改项目环境影响报告表》</w:t>
      </w:r>
      <w:r>
        <w:rPr>
          <w:rFonts w:hint="eastAsia" w:eastAsia="仿宋"/>
          <w:sz w:val="28"/>
          <w:szCs w:val="28"/>
        </w:rPr>
        <w:t>，2018年1月，缙云县环保局出具了</w:t>
      </w:r>
      <w:r>
        <w:rPr>
          <w:rFonts w:eastAsia="仿宋"/>
          <w:sz w:val="28"/>
          <w:szCs w:val="28"/>
        </w:rPr>
        <w:t>《关于浙江汉达机械有限公司年产500台数控组合机床技改项目环境影响报告表的</w:t>
      </w:r>
      <w:r>
        <w:rPr>
          <w:rFonts w:hint="eastAsia" w:eastAsia="仿宋"/>
          <w:sz w:val="28"/>
          <w:szCs w:val="28"/>
        </w:rPr>
        <w:t>审查意见</w:t>
      </w:r>
      <w:r>
        <w:rPr>
          <w:rFonts w:eastAsia="仿宋"/>
          <w:sz w:val="28"/>
          <w:szCs w:val="28"/>
        </w:rPr>
        <w:t>》（缙环建园[2018]1号）</w:t>
      </w:r>
      <w:r>
        <w:rPr>
          <w:rFonts w:hint="eastAsia" w:eastAsia="仿宋"/>
          <w:sz w:val="28"/>
          <w:szCs w:val="28"/>
        </w:rPr>
        <w:t>。</w:t>
      </w:r>
    </w:p>
    <w:p>
      <w:pPr>
        <w:spacing w:line="360" w:lineRule="auto"/>
        <w:ind w:firstLine="560" w:firstLineChars="200"/>
        <w:jc w:val="left"/>
        <w:rPr>
          <w:rFonts w:hint="eastAsia" w:eastAsia="仿宋"/>
          <w:sz w:val="28"/>
          <w:szCs w:val="28"/>
        </w:rPr>
      </w:pPr>
      <w:r>
        <w:rPr>
          <w:rFonts w:hint="eastAsia" w:eastAsia="仿宋"/>
          <w:sz w:val="28"/>
          <w:szCs w:val="28"/>
        </w:rPr>
        <w:t>（三）投资情况</w:t>
      </w:r>
    </w:p>
    <w:p>
      <w:pPr>
        <w:pStyle w:val="14"/>
        <w:snapToGrid w:val="0"/>
        <w:spacing w:before="0" w:line="480" w:lineRule="exact"/>
        <w:ind w:firstLine="560"/>
        <w:rPr>
          <w:rFonts w:hint="eastAsia" w:ascii="Times New Roman" w:hAnsi="Times New Roman" w:eastAsia="仿宋"/>
          <w:sz w:val="28"/>
          <w:szCs w:val="28"/>
        </w:rPr>
      </w:pPr>
      <w:r>
        <w:rPr>
          <w:rFonts w:hint="eastAsia" w:ascii="Times New Roman" w:hAnsi="Times New Roman" w:eastAsia="仿宋"/>
          <w:sz w:val="28"/>
          <w:szCs w:val="28"/>
        </w:rPr>
        <w:t>浙江汉达机械有限公司年产500台数控组合机床技改项目的环保投资83万元，占项目实际总投资860万元的9.65%。</w:t>
      </w:r>
    </w:p>
    <w:p>
      <w:pPr>
        <w:pStyle w:val="14"/>
        <w:snapToGrid w:val="0"/>
        <w:spacing w:before="0" w:line="480" w:lineRule="exact"/>
        <w:ind w:firstLine="560"/>
        <w:rPr>
          <w:rFonts w:ascii="Times New Roman" w:hAnsi="Times New Roman" w:eastAsia="仿宋"/>
          <w:sz w:val="28"/>
          <w:szCs w:val="28"/>
        </w:rPr>
      </w:pPr>
      <w:r>
        <w:rPr>
          <w:rFonts w:hint="eastAsia" w:ascii="Times New Roman" w:hAnsi="Times New Roman" w:eastAsia="仿宋"/>
          <w:sz w:val="28"/>
          <w:szCs w:val="28"/>
        </w:rPr>
        <w:t>（四）验收范围</w:t>
      </w:r>
    </w:p>
    <w:p>
      <w:pPr>
        <w:pStyle w:val="14"/>
        <w:snapToGrid w:val="0"/>
        <w:spacing w:before="0" w:line="480" w:lineRule="exact"/>
        <w:ind w:firstLine="560"/>
        <w:rPr>
          <w:rFonts w:ascii="Times New Roman" w:hAnsi="Times New Roman" w:eastAsia="仿宋"/>
          <w:sz w:val="28"/>
          <w:szCs w:val="28"/>
        </w:rPr>
      </w:pPr>
      <w:r>
        <w:rPr>
          <w:rFonts w:ascii="Times New Roman" w:hAnsi="Times New Roman" w:eastAsia="仿宋"/>
          <w:sz w:val="28"/>
          <w:szCs w:val="28"/>
        </w:rPr>
        <w:t>本次验收范围为</w:t>
      </w:r>
      <w:r>
        <w:rPr>
          <w:rFonts w:hint="eastAsia" w:ascii="Times New Roman" w:hAnsi="Times New Roman" w:eastAsia="仿宋"/>
          <w:sz w:val="28"/>
          <w:szCs w:val="28"/>
        </w:rPr>
        <w:t>浙江汉达机械有限公司</w:t>
      </w:r>
      <w:r>
        <w:rPr>
          <w:rFonts w:hint="eastAsia" w:eastAsia="仿宋"/>
          <w:sz w:val="28"/>
          <w:szCs w:val="28"/>
        </w:rPr>
        <w:t>年产</w:t>
      </w:r>
      <w:r>
        <w:rPr>
          <w:rFonts w:hint="default" w:ascii="Times New Roman" w:hAnsi="Times New Roman" w:eastAsia="仿宋" w:cs="Times New Roman"/>
          <w:sz w:val="28"/>
          <w:szCs w:val="28"/>
        </w:rPr>
        <w:t>500</w:t>
      </w:r>
      <w:r>
        <w:rPr>
          <w:rFonts w:hint="eastAsia" w:eastAsia="仿宋"/>
          <w:sz w:val="28"/>
          <w:szCs w:val="28"/>
        </w:rPr>
        <w:t>台数控组合机床技改项目，为</w:t>
      </w:r>
      <w:r>
        <w:rPr>
          <w:rFonts w:hint="eastAsia" w:ascii="Times New Roman" w:hAnsi="Times New Roman" w:eastAsia="仿宋"/>
          <w:sz w:val="28"/>
          <w:szCs w:val="28"/>
        </w:rPr>
        <w:t>整体验收。</w:t>
      </w:r>
    </w:p>
    <w:p>
      <w:pPr>
        <w:pStyle w:val="13"/>
        <w:autoSpaceDE w:val="0"/>
        <w:autoSpaceDN w:val="0"/>
        <w:adjustRightInd w:val="0"/>
        <w:snapToGrid w:val="0"/>
        <w:spacing w:line="480" w:lineRule="exact"/>
        <w:ind w:firstLine="562"/>
        <w:jc w:val="left"/>
        <w:outlineLvl w:val="0"/>
        <w:rPr>
          <w:rFonts w:ascii="Times New Roman" w:hAnsi="Times New Roman" w:eastAsia="仿宋"/>
          <w:b/>
          <w:sz w:val="28"/>
          <w:szCs w:val="28"/>
        </w:rPr>
      </w:pPr>
      <w:bookmarkStart w:id="16" w:name="_Toc16644_WPSOffice_Level1"/>
      <w:bookmarkStart w:id="17" w:name="_Toc12410_WPSOffice_Level1"/>
      <w:r>
        <w:rPr>
          <w:rFonts w:ascii="Times New Roman" w:hAnsi="Times New Roman" w:eastAsia="仿宋"/>
          <w:b/>
          <w:sz w:val="28"/>
          <w:szCs w:val="28"/>
        </w:rPr>
        <w:t>二、工程变动情况</w:t>
      </w:r>
      <w:bookmarkEnd w:id="16"/>
      <w:bookmarkEnd w:id="17"/>
    </w:p>
    <w:p>
      <w:pPr>
        <w:snapToGrid w:val="0"/>
        <w:spacing w:line="480" w:lineRule="exact"/>
        <w:ind w:firstLine="560" w:firstLineChars="200"/>
        <w:rPr>
          <w:rFonts w:hint="eastAsia" w:eastAsia="仿宋"/>
          <w:sz w:val="28"/>
          <w:szCs w:val="28"/>
        </w:rPr>
      </w:pPr>
      <w:r>
        <w:rPr>
          <w:rFonts w:eastAsia="仿宋"/>
          <w:sz w:val="28"/>
          <w:szCs w:val="28"/>
        </w:rPr>
        <w:t>根据</w:t>
      </w:r>
      <w:r>
        <w:rPr>
          <w:rFonts w:hint="eastAsia" w:eastAsia="仿宋"/>
          <w:sz w:val="28"/>
          <w:szCs w:val="28"/>
        </w:rPr>
        <w:t>浙江华普环境科技有限公司</w:t>
      </w:r>
      <w:r>
        <w:rPr>
          <w:rFonts w:eastAsia="仿宋"/>
          <w:sz w:val="28"/>
          <w:szCs w:val="28"/>
        </w:rPr>
        <w:t>的项目竣工环境保护验收监测报告</w:t>
      </w:r>
      <w:r>
        <w:rPr>
          <w:rFonts w:hint="eastAsia" w:eastAsia="仿宋"/>
          <w:sz w:val="28"/>
          <w:szCs w:val="28"/>
        </w:rPr>
        <w:t>及现场检查</w:t>
      </w:r>
      <w:r>
        <w:rPr>
          <w:rFonts w:eastAsia="仿宋"/>
          <w:sz w:val="28"/>
          <w:szCs w:val="28"/>
        </w:rPr>
        <w:t>：项目建设情况与环评</w:t>
      </w:r>
      <w:r>
        <w:rPr>
          <w:rFonts w:hint="eastAsia" w:eastAsia="仿宋"/>
          <w:sz w:val="28"/>
          <w:szCs w:val="28"/>
        </w:rPr>
        <w:t>基本一致，无重大变化。</w:t>
      </w:r>
      <w:r>
        <w:rPr>
          <w:rFonts w:eastAsia="仿宋"/>
          <w:sz w:val="28"/>
          <w:szCs w:val="28"/>
        </w:rPr>
        <w:t xml:space="preserve"> </w:t>
      </w:r>
    </w:p>
    <w:p>
      <w:pPr>
        <w:snapToGrid w:val="0"/>
        <w:spacing w:line="480" w:lineRule="exact"/>
        <w:ind w:firstLine="562" w:firstLineChars="200"/>
        <w:outlineLvl w:val="0"/>
        <w:rPr>
          <w:rFonts w:eastAsia="仿宋"/>
          <w:b/>
          <w:sz w:val="28"/>
          <w:szCs w:val="28"/>
        </w:rPr>
      </w:pPr>
      <w:bookmarkStart w:id="18" w:name="_Toc17911_WPSOffice_Level1"/>
      <w:bookmarkStart w:id="19" w:name="_Toc16442_WPSOffice_Level1"/>
      <w:r>
        <w:rPr>
          <w:rFonts w:eastAsia="仿宋"/>
          <w:b/>
          <w:sz w:val="28"/>
          <w:szCs w:val="28"/>
        </w:rPr>
        <w:t>三、环境保护设施</w:t>
      </w:r>
      <w:r>
        <w:rPr>
          <w:rFonts w:hint="eastAsia" w:eastAsia="仿宋"/>
          <w:b/>
          <w:sz w:val="28"/>
          <w:szCs w:val="28"/>
        </w:rPr>
        <w:t>建设</w:t>
      </w:r>
      <w:r>
        <w:rPr>
          <w:rFonts w:eastAsia="仿宋"/>
          <w:b/>
          <w:sz w:val="28"/>
          <w:szCs w:val="28"/>
        </w:rPr>
        <w:t>情况</w:t>
      </w:r>
      <w:bookmarkEnd w:id="18"/>
      <w:bookmarkEnd w:id="19"/>
    </w:p>
    <w:p>
      <w:pPr>
        <w:pStyle w:val="14"/>
        <w:snapToGrid w:val="0"/>
        <w:spacing w:before="0" w:line="480" w:lineRule="exact"/>
        <w:ind w:firstLine="560"/>
        <w:rPr>
          <w:rFonts w:hint="eastAsia" w:ascii="Times New Roman" w:hAnsi="Times New Roman" w:eastAsia="仿宋"/>
          <w:sz w:val="28"/>
          <w:szCs w:val="28"/>
        </w:rPr>
      </w:pPr>
      <w:r>
        <w:rPr>
          <w:rFonts w:hint="eastAsia" w:ascii="Times New Roman" w:hAnsi="Times New Roman" w:eastAsia="仿宋"/>
          <w:sz w:val="28"/>
          <w:szCs w:val="28"/>
        </w:rPr>
        <w:t>（一）废水</w:t>
      </w:r>
    </w:p>
    <w:p>
      <w:pPr>
        <w:pStyle w:val="14"/>
        <w:snapToGrid w:val="0"/>
        <w:spacing w:line="480" w:lineRule="exact"/>
        <w:ind w:firstLine="560"/>
        <w:rPr>
          <w:rFonts w:hint="eastAsia" w:eastAsia="仿宋"/>
          <w:sz w:val="28"/>
          <w:szCs w:val="28"/>
        </w:rPr>
      </w:pPr>
      <w:r>
        <w:rPr>
          <w:rFonts w:hint="eastAsia" w:eastAsia="仿宋"/>
          <w:sz w:val="28"/>
          <w:szCs w:val="28"/>
        </w:rPr>
        <w:t>水帘机喷淋水循环使用一定时间后定期更换，更换下来的喷淋废水和清洗废水添加絮凝剂经沉淀池沉淀预处理后限流排入化粪池与生活污水一并生化预处理后纳入污水管网，进入缙云县壶镇污水处理厂处理。</w:t>
      </w:r>
    </w:p>
    <w:p>
      <w:pPr>
        <w:pStyle w:val="14"/>
        <w:snapToGrid w:val="0"/>
        <w:spacing w:line="480" w:lineRule="exact"/>
        <w:ind w:firstLine="560"/>
        <w:rPr>
          <w:rFonts w:hint="eastAsia" w:ascii="Times New Roman" w:hAnsi="Times New Roman" w:eastAsia="仿宋"/>
          <w:sz w:val="28"/>
          <w:szCs w:val="28"/>
        </w:rPr>
      </w:pPr>
      <w:r>
        <w:rPr>
          <w:rFonts w:hint="eastAsia" w:ascii="Times New Roman" w:hAnsi="Times New Roman" w:eastAsia="仿宋"/>
          <w:sz w:val="28"/>
          <w:szCs w:val="28"/>
        </w:rPr>
        <w:t>（二）废气</w:t>
      </w:r>
    </w:p>
    <w:p>
      <w:pPr>
        <w:spacing w:line="360" w:lineRule="auto"/>
        <w:ind w:firstLine="560" w:firstLineChars="200"/>
        <w:rPr>
          <w:rFonts w:hint="eastAsia" w:eastAsia="仿宋"/>
          <w:sz w:val="28"/>
          <w:szCs w:val="28"/>
        </w:rPr>
      </w:pPr>
      <w:r>
        <w:rPr>
          <w:rFonts w:hint="eastAsia" w:eastAsia="仿宋"/>
          <w:sz w:val="28"/>
          <w:szCs w:val="28"/>
        </w:rPr>
        <w:t>喷漆房废气、喷漆台废气及烘干废气一并接入废气处理设施经水帘机+</w:t>
      </w:r>
      <w:bookmarkStart w:id="20" w:name="_Hlk519699002"/>
      <w:r>
        <w:rPr>
          <w:rFonts w:hint="eastAsia" w:eastAsia="仿宋"/>
          <w:sz w:val="28"/>
          <w:szCs w:val="28"/>
        </w:rPr>
        <w:t>低温等离子一体化设备</w:t>
      </w:r>
      <w:bookmarkEnd w:id="20"/>
      <w:r>
        <w:rPr>
          <w:rFonts w:hint="eastAsia" w:eastAsia="仿宋"/>
          <w:sz w:val="28"/>
          <w:szCs w:val="28"/>
        </w:rPr>
        <w:t>处理后经15m排气筒高空排放；打磨粉尘以无组织的形式排放。金加工粉尘及焊接烟尘产生量很少，车间内安装通风装置，加强通风，少量颗粒物无组织。</w:t>
      </w:r>
    </w:p>
    <w:p>
      <w:pPr>
        <w:pStyle w:val="14"/>
        <w:snapToGrid w:val="0"/>
        <w:spacing w:line="480" w:lineRule="exact"/>
        <w:ind w:firstLine="560"/>
        <w:rPr>
          <w:rFonts w:hint="eastAsia" w:ascii="Times New Roman" w:hAnsi="Times New Roman" w:eastAsia="仿宋"/>
          <w:sz w:val="28"/>
          <w:szCs w:val="28"/>
        </w:rPr>
      </w:pPr>
      <w:r>
        <w:rPr>
          <w:rFonts w:hint="eastAsia" w:ascii="Times New Roman" w:hAnsi="Times New Roman" w:eastAsia="仿宋"/>
          <w:sz w:val="28"/>
          <w:szCs w:val="28"/>
        </w:rPr>
        <w:t>（三）噪声</w:t>
      </w:r>
    </w:p>
    <w:p>
      <w:pPr>
        <w:pStyle w:val="14"/>
        <w:snapToGrid w:val="0"/>
        <w:spacing w:line="480" w:lineRule="exact"/>
        <w:ind w:firstLine="560"/>
        <w:rPr>
          <w:rFonts w:ascii="Times New Roman" w:hAnsi="Times New Roman" w:eastAsia="仿宋"/>
          <w:sz w:val="28"/>
          <w:szCs w:val="28"/>
        </w:rPr>
      </w:pPr>
      <w:r>
        <w:rPr>
          <w:rFonts w:hint="eastAsia" w:ascii="Times New Roman" w:hAnsi="Times New Roman" w:eastAsia="仿宋"/>
          <w:sz w:val="28"/>
          <w:szCs w:val="28"/>
        </w:rPr>
        <w:t>选择低噪音的设备，采用隔声降噪、局部吸声技术，车间合理布局，加强设备日常检修和维护。</w:t>
      </w:r>
    </w:p>
    <w:p>
      <w:pPr>
        <w:pStyle w:val="14"/>
        <w:snapToGrid w:val="0"/>
        <w:spacing w:before="0" w:line="480" w:lineRule="exact"/>
        <w:ind w:firstLine="560"/>
        <w:rPr>
          <w:rFonts w:ascii="Times New Roman" w:hAnsi="Times New Roman" w:eastAsia="仿宋"/>
          <w:sz w:val="28"/>
          <w:szCs w:val="28"/>
        </w:rPr>
      </w:pPr>
      <w:bookmarkStart w:id="21" w:name="_Hlk518208518"/>
      <w:r>
        <w:rPr>
          <w:rFonts w:hint="eastAsia" w:ascii="Times New Roman" w:hAnsi="Times New Roman" w:eastAsia="仿宋"/>
          <w:sz w:val="28"/>
          <w:szCs w:val="28"/>
        </w:rPr>
        <w:t>（四）固体废物</w:t>
      </w:r>
    </w:p>
    <w:bookmarkEnd w:id="21"/>
    <w:p>
      <w:pPr>
        <w:pStyle w:val="13"/>
        <w:autoSpaceDE w:val="0"/>
        <w:autoSpaceDN w:val="0"/>
        <w:adjustRightInd w:val="0"/>
        <w:snapToGrid w:val="0"/>
        <w:spacing w:line="480" w:lineRule="exact"/>
        <w:ind w:firstLine="560"/>
        <w:jc w:val="left"/>
        <w:outlineLvl w:val="0"/>
        <w:rPr>
          <w:rFonts w:hint="eastAsia" w:eastAsia="仿宋"/>
          <w:sz w:val="28"/>
          <w:szCs w:val="28"/>
        </w:rPr>
      </w:pPr>
      <w:bookmarkStart w:id="22" w:name="_Hlk519700162"/>
      <w:r>
        <w:rPr>
          <w:rFonts w:hint="eastAsia" w:eastAsia="仿宋"/>
          <w:sz w:val="28"/>
          <w:szCs w:val="28"/>
        </w:rPr>
        <w:t>①金属边角料、废焊渣、铁尘泥渣：分类收集在一般固废收集场所，出售给废品收购单位；</w:t>
      </w:r>
    </w:p>
    <w:p>
      <w:pPr>
        <w:pStyle w:val="13"/>
        <w:autoSpaceDE w:val="0"/>
        <w:autoSpaceDN w:val="0"/>
        <w:adjustRightInd w:val="0"/>
        <w:snapToGrid w:val="0"/>
        <w:spacing w:line="480" w:lineRule="exact"/>
        <w:ind w:firstLine="560"/>
        <w:jc w:val="left"/>
        <w:outlineLvl w:val="0"/>
        <w:rPr>
          <w:rFonts w:hint="eastAsia" w:eastAsia="仿宋"/>
          <w:sz w:val="28"/>
          <w:szCs w:val="28"/>
        </w:rPr>
      </w:pPr>
      <w:r>
        <w:rPr>
          <w:rFonts w:hint="eastAsia" w:eastAsia="仿宋"/>
          <w:sz w:val="28"/>
          <w:szCs w:val="28"/>
        </w:rPr>
        <w:t>②生活垃圾、废砂皮纸、废包装材料：通过设置垃圾分类收件箱收集，委托环卫部门清运、处置；</w:t>
      </w:r>
    </w:p>
    <w:p>
      <w:pPr>
        <w:pStyle w:val="13"/>
        <w:autoSpaceDE w:val="0"/>
        <w:autoSpaceDN w:val="0"/>
        <w:adjustRightInd w:val="0"/>
        <w:snapToGrid w:val="0"/>
        <w:spacing w:line="480" w:lineRule="exact"/>
        <w:ind w:firstLine="560"/>
        <w:jc w:val="left"/>
        <w:outlineLvl w:val="0"/>
        <w:rPr>
          <w:rFonts w:eastAsia="仿宋"/>
          <w:sz w:val="28"/>
          <w:szCs w:val="28"/>
        </w:rPr>
      </w:pPr>
      <w:r>
        <w:rPr>
          <w:rFonts w:hint="eastAsia" w:eastAsia="仿宋"/>
          <w:sz w:val="28"/>
          <w:szCs w:val="28"/>
        </w:rPr>
        <w:t>③漆渣、废包装桶、废机油：属于危险废物，经分类收集，妥善贮存后委托金华市莱逸园环保科技开发有限公司进行处置；</w:t>
      </w:r>
    </w:p>
    <w:p>
      <w:pPr>
        <w:pStyle w:val="13"/>
        <w:autoSpaceDE w:val="0"/>
        <w:autoSpaceDN w:val="0"/>
        <w:adjustRightInd w:val="0"/>
        <w:snapToGrid w:val="0"/>
        <w:spacing w:line="480" w:lineRule="exact"/>
        <w:ind w:firstLine="560"/>
        <w:jc w:val="left"/>
        <w:outlineLvl w:val="0"/>
        <w:rPr>
          <w:rFonts w:hint="eastAsia" w:eastAsia="仿宋"/>
          <w:sz w:val="28"/>
          <w:szCs w:val="28"/>
        </w:rPr>
      </w:pPr>
      <w:r>
        <w:rPr>
          <w:rFonts w:hint="eastAsia" w:ascii="仿宋" w:hAnsi="仿宋" w:eastAsia="仿宋"/>
          <w:sz w:val="28"/>
          <w:szCs w:val="28"/>
        </w:rPr>
        <w:t>④废乳化液：委托三门德鑫废矿物油有限公司进行处置。</w:t>
      </w:r>
    </w:p>
    <w:bookmarkEnd w:id="22"/>
    <w:p>
      <w:pPr>
        <w:pStyle w:val="13"/>
        <w:autoSpaceDE w:val="0"/>
        <w:autoSpaceDN w:val="0"/>
        <w:adjustRightInd w:val="0"/>
        <w:snapToGrid w:val="0"/>
        <w:spacing w:line="480" w:lineRule="exact"/>
        <w:ind w:firstLine="562"/>
        <w:jc w:val="left"/>
        <w:outlineLvl w:val="0"/>
        <w:rPr>
          <w:rFonts w:hint="eastAsia" w:ascii="Times New Roman" w:hAnsi="Times New Roman" w:eastAsia="仿宋"/>
          <w:b/>
          <w:color w:val="000000"/>
          <w:sz w:val="28"/>
          <w:szCs w:val="28"/>
        </w:rPr>
      </w:pPr>
      <w:bookmarkStart w:id="23" w:name="_Toc74_WPSOffice_Level1"/>
      <w:bookmarkStart w:id="24" w:name="_Toc31756_WPSOffice_Level1"/>
      <w:r>
        <w:rPr>
          <w:rFonts w:hint="eastAsia" w:ascii="Times New Roman" w:hAnsi="Times New Roman" w:eastAsia="仿宋"/>
          <w:b/>
          <w:color w:val="000000"/>
          <w:sz w:val="28"/>
          <w:szCs w:val="28"/>
        </w:rPr>
        <w:t>四、环境保护设施调试效果及环境影响</w:t>
      </w:r>
      <w:bookmarkEnd w:id="23"/>
      <w:bookmarkEnd w:id="24"/>
    </w:p>
    <w:p>
      <w:pPr>
        <w:spacing w:line="360" w:lineRule="auto"/>
        <w:ind w:firstLine="560" w:firstLineChars="200"/>
        <w:rPr>
          <w:rFonts w:eastAsia="仿宋"/>
          <w:sz w:val="28"/>
          <w:szCs w:val="28"/>
        </w:rPr>
      </w:pPr>
      <w:r>
        <w:rPr>
          <w:rFonts w:hint="eastAsia" w:eastAsia="仿宋"/>
          <w:sz w:val="28"/>
          <w:szCs w:val="28"/>
        </w:rPr>
        <w:t>根据浙江华普环境科技有限公司的项目竣工《环境保护验收监测报告》（HP（P）2018-05-004）可知：</w:t>
      </w:r>
    </w:p>
    <w:p>
      <w:pPr>
        <w:spacing w:line="360" w:lineRule="auto"/>
        <w:ind w:firstLine="560" w:firstLineChars="200"/>
        <w:rPr>
          <w:rFonts w:hint="eastAsia" w:eastAsia="仿宋"/>
          <w:sz w:val="28"/>
          <w:szCs w:val="28"/>
        </w:rPr>
      </w:pPr>
      <w:r>
        <w:rPr>
          <w:rFonts w:hint="eastAsia" w:eastAsia="仿宋"/>
          <w:sz w:val="28"/>
          <w:szCs w:val="28"/>
        </w:rPr>
        <w:t>1、废水</w:t>
      </w:r>
    </w:p>
    <w:p>
      <w:pPr>
        <w:spacing w:line="300" w:lineRule="auto"/>
        <w:ind w:firstLine="560" w:firstLineChars="200"/>
        <w:rPr>
          <w:rFonts w:hint="eastAsia" w:eastAsia="仿宋"/>
          <w:sz w:val="28"/>
          <w:szCs w:val="28"/>
        </w:rPr>
      </w:pPr>
      <w:r>
        <w:rPr>
          <w:rFonts w:hint="eastAsia" w:eastAsia="仿宋"/>
          <w:sz w:val="28"/>
          <w:szCs w:val="28"/>
        </w:rPr>
        <w:t>验收监测期间，本项目废水中pH值、化学需氧量、悬浮物排放达到《污水综合排放标准》（GB8978-1996）三级标准，氨氮、总磷排放达到《工业企业废水氮、磷污染物间接排放限值》（DB33/887-2013）相应标准。</w:t>
      </w:r>
    </w:p>
    <w:p>
      <w:pPr>
        <w:spacing w:line="360" w:lineRule="auto"/>
        <w:ind w:firstLine="560" w:firstLineChars="200"/>
        <w:rPr>
          <w:rFonts w:hint="eastAsia" w:eastAsia="仿宋"/>
          <w:sz w:val="28"/>
          <w:szCs w:val="28"/>
        </w:rPr>
      </w:pPr>
      <w:r>
        <w:rPr>
          <w:rFonts w:hint="eastAsia" w:eastAsia="仿宋"/>
          <w:sz w:val="28"/>
          <w:szCs w:val="28"/>
        </w:rPr>
        <w:t>2、废气</w:t>
      </w:r>
    </w:p>
    <w:p>
      <w:pPr>
        <w:spacing w:line="360" w:lineRule="auto"/>
        <w:ind w:firstLine="480"/>
        <w:jc w:val="left"/>
        <w:rPr>
          <w:rFonts w:hint="eastAsia" w:eastAsia="仿宋"/>
          <w:sz w:val="28"/>
          <w:szCs w:val="28"/>
        </w:rPr>
      </w:pPr>
      <w:r>
        <w:rPr>
          <w:rFonts w:hint="eastAsia" w:eastAsia="仿宋"/>
          <w:sz w:val="28"/>
          <w:szCs w:val="28"/>
        </w:rPr>
        <w:t>监测验收期间，喷漆房废气、喷漆台废气及烘干废气颗粒物、苯、甲苯、二甲苯、非甲烷总烃排放浓度及排放速率均达到《大气污染物综合排放标准》“新污染源大气污染物排放限值”二级标准中最高允许排放浓度和最高允许排放速率限值要求。无组织排放的苯、甲苯、二甲苯、非甲烷总烃及颗粒物达到《大气污染物综合排放标准》(GB16297-1996)“新污染源大气污染物排放限值”二级标准中无组织排放监控浓度限值要求。</w:t>
      </w:r>
    </w:p>
    <w:p>
      <w:pPr>
        <w:spacing w:line="360" w:lineRule="auto"/>
        <w:ind w:firstLine="560" w:firstLineChars="200"/>
        <w:rPr>
          <w:rFonts w:hint="eastAsia" w:eastAsia="仿宋"/>
          <w:sz w:val="28"/>
          <w:szCs w:val="28"/>
        </w:rPr>
      </w:pPr>
      <w:r>
        <w:rPr>
          <w:rFonts w:hint="eastAsia" w:eastAsia="仿宋"/>
          <w:sz w:val="28"/>
          <w:szCs w:val="28"/>
        </w:rPr>
        <w:t>3、噪声</w:t>
      </w:r>
    </w:p>
    <w:p>
      <w:pPr>
        <w:spacing w:line="360" w:lineRule="auto"/>
        <w:rPr>
          <w:rFonts w:eastAsia="仿宋"/>
          <w:sz w:val="28"/>
          <w:szCs w:val="28"/>
        </w:rPr>
      </w:pPr>
      <w:r>
        <w:rPr>
          <w:rFonts w:eastAsia="仿宋"/>
          <w:sz w:val="28"/>
          <w:szCs w:val="28"/>
        </w:rPr>
        <w:t>项目昼间厂界环境噪声均符合《工业企业厂界环境噪声排放标准》（GB12348-2008）中</w:t>
      </w:r>
      <w:r>
        <w:rPr>
          <w:rFonts w:hint="eastAsia" w:eastAsia="仿宋"/>
          <w:sz w:val="28"/>
          <w:szCs w:val="28"/>
        </w:rPr>
        <w:t>3</w:t>
      </w:r>
      <w:r>
        <w:rPr>
          <w:rFonts w:eastAsia="仿宋"/>
          <w:sz w:val="28"/>
          <w:szCs w:val="28"/>
        </w:rPr>
        <w:t>类标准限值要求。</w:t>
      </w:r>
      <w:r>
        <w:rPr>
          <w:rFonts w:hint="eastAsia" w:eastAsia="仿宋"/>
          <w:sz w:val="28"/>
          <w:szCs w:val="28"/>
        </w:rPr>
        <w:t>企业夜间不生产，所以未进行检测。</w:t>
      </w:r>
    </w:p>
    <w:p>
      <w:pPr>
        <w:spacing w:line="360" w:lineRule="auto"/>
        <w:ind w:firstLine="560" w:firstLineChars="200"/>
        <w:rPr>
          <w:rFonts w:eastAsia="仿宋"/>
          <w:sz w:val="28"/>
          <w:szCs w:val="28"/>
        </w:rPr>
      </w:pPr>
      <w:r>
        <w:rPr>
          <w:rFonts w:hint="eastAsia" w:eastAsia="仿宋"/>
          <w:sz w:val="28"/>
          <w:szCs w:val="28"/>
        </w:rPr>
        <w:t>4、固体废物</w:t>
      </w:r>
    </w:p>
    <w:p>
      <w:pPr>
        <w:spacing w:line="360" w:lineRule="auto"/>
        <w:ind w:firstLine="560" w:firstLineChars="200"/>
        <w:rPr>
          <w:rFonts w:hint="eastAsia" w:eastAsia="仿宋"/>
          <w:sz w:val="28"/>
          <w:szCs w:val="28"/>
        </w:rPr>
      </w:pPr>
      <w:r>
        <w:rPr>
          <w:rFonts w:hint="eastAsia" w:eastAsia="仿宋"/>
          <w:sz w:val="28"/>
          <w:szCs w:val="28"/>
        </w:rPr>
        <w:t>①金属边角料、废焊渣、铁尘泥渣：分类收集在一般固废收集场所，出售给废品收购单位；</w:t>
      </w:r>
    </w:p>
    <w:p>
      <w:pPr>
        <w:spacing w:line="360" w:lineRule="auto"/>
        <w:ind w:firstLine="560" w:firstLineChars="200"/>
        <w:rPr>
          <w:rFonts w:hint="eastAsia" w:eastAsia="仿宋"/>
          <w:sz w:val="28"/>
          <w:szCs w:val="28"/>
        </w:rPr>
      </w:pPr>
      <w:r>
        <w:rPr>
          <w:rFonts w:hint="eastAsia" w:eastAsia="仿宋"/>
          <w:sz w:val="28"/>
          <w:szCs w:val="28"/>
        </w:rPr>
        <w:t>②生活垃圾、废砂皮纸、废包装材料：通过设置垃圾分类收件箱收集，委托环卫部门清运、处置；</w:t>
      </w:r>
    </w:p>
    <w:p>
      <w:pPr>
        <w:spacing w:line="360" w:lineRule="auto"/>
        <w:ind w:firstLine="560" w:firstLineChars="200"/>
        <w:rPr>
          <w:rFonts w:eastAsia="仿宋"/>
          <w:sz w:val="28"/>
          <w:szCs w:val="28"/>
        </w:rPr>
      </w:pPr>
      <w:r>
        <w:rPr>
          <w:rFonts w:hint="eastAsia" w:eastAsia="仿宋"/>
          <w:sz w:val="28"/>
          <w:szCs w:val="28"/>
        </w:rPr>
        <w:t>③漆渣、废包装桶、废机油：属于危险废物，经分类收集，妥善贮存后委托金华市莱逸园环保科技开发有限公司进行处置；</w:t>
      </w:r>
    </w:p>
    <w:p>
      <w:pPr>
        <w:spacing w:line="360" w:lineRule="auto"/>
        <w:ind w:firstLine="560" w:firstLineChars="200"/>
        <w:rPr>
          <w:rFonts w:eastAsia="仿宋"/>
          <w:sz w:val="28"/>
          <w:szCs w:val="28"/>
        </w:rPr>
      </w:pPr>
      <w:r>
        <w:rPr>
          <w:rFonts w:hint="eastAsia" w:eastAsia="仿宋"/>
          <w:sz w:val="28"/>
          <w:szCs w:val="28"/>
        </w:rPr>
        <w:t>④废乳化液：委托三门德鑫废矿物油有限公司进行处置。</w:t>
      </w:r>
    </w:p>
    <w:p>
      <w:pPr>
        <w:spacing w:line="360" w:lineRule="auto"/>
        <w:ind w:firstLine="560" w:firstLineChars="200"/>
        <w:rPr>
          <w:rFonts w:hint="eastAsia" w:eastAsia="仿宋"/>
          <w:sz w:val="28"/>
          <w:szCs w:val="28"/>
        </w:rPr>
      </w:pPr>
      <w:r>
        <w:rPr>
          <w:rFonts w:hint="eastAsia" w:eastAsia="仿宋"/>
          <w:sz w:val="28"/>
          <w:szCs w:val="28"/>
        </w:rPr>
        <w:t>5、总量控制：项目水污染物化学需氧量、氨氮排放量符合总量控制要求。</w:t>
      </w:r>
    </w:p>
    <w:p>
      <w:pPr>
        <w:spacing w:line="360" w:lineRule="auto"/>
        <w:ind w:firstLine="560" w:firstLineChars="200"/>
        <w:rPr>
          <w:rFonts w:hint="eastAsia" w:eastAsia="仿宋"/>
          <w:sz w:val="28"/>
          <w:szCs w:val="28"/>
        </w:rPr>
      </w:pPr>
      <w:r>
        <w:rPr>
          <w:rFonts w:hint="eastAsia" w:eastAsia="仿宋"/>
          <w:sz w:val="28"/>
          <w:szCs w:val="28"/>
        </w:rPr>
        <w:t>监测调查期间，生产工况基本符合验收监测要求。</w:t>
      </w:r>
    </w:p>
    <w:p>
      <w:pPr>
        <w:snapToGrid w:val="0"/>
        <w:spacing w:line="480" w:lineRule="exact"/>
        <w:ind w:firstLine="562" w:firstLineChars="200"/>
        <w:outlineLvl w:val="0"/>
        <w:rPr>
          <w:rFonts w:eastAsia="仿宋"/>
          <w:b/>
          <w:sz w:val="28"/>
          <w:szCs w:val="28"/>
        </w:rPr>
      </w:pPr>
      <w:bookmarkStart w:id="25" w:name="_Toc26426_WPSOffice_Level1"/>
      <w:bookmarkStart w:id="26" w:name="_Toc26325_WPSOffice_Level1"/>
      <w:r>
        <w:rPr>
          <w:rFonts w:hint="eastAsia" w:eastAsia="仿宋"/>
          <w:b/>
          <w:sz w:val="28"/>
          <w:szCs w:val="28"/>
        </w:rPr>
        <w:t>五</w:t>
      </w:r>
      <w:r>
        <w:rPr>
          <w:rFonts w:eastAsia="仿宋"/>
          <w:b/>
          <w:sz w:val="28"/>
          <w:szCs w:val="28"/>
        </w:rPr>
        <w:t>、验收结论</w:t>
      </w:r>
      <w:bookmarkEnd w:id="25"/>
      <w:bookmarkEnd w:id="26"/>
    </w:p>
    <w:p>
      <w:pPr>
        <w:pStyle w:val="14"/>
        <w:snapToGrid w:val="0"/>
        <w:spacing w:before="0" w:line="500" w:lineRule="exact"/>
        <w:ind w:firstLine="560"/>
        <w:rPr>
          <w:rFonts w:hint="eastAsia" w:ascii="Times New Roman" w:hAnsi="Times New Roman" w:eastAsia="仿宋"/>
          <w:color w:val="000000"/>
          <w:sz w:val="28"/>
          <w:szCs w:val="28"/>
        </w:rPr>
      </w:pPr>
      <w:r>
        <w:rPr>
          <w:rFonts w:hint="eastAsia" w:ascii="仿宋" w:hAnsi="仿宋" w:eastAsia="仿宋"/>
          <w:sz w:val="28"/>
          <w:szCs w:val="28"/>
        </w:rPr>
        <w:t>经现场检查，</w:t>
      </w:r>
      <w:r>
        <w:rPr>
          <w:rFonts w:hint="eastAsia" w:ascii="Times New Roman" w:hAnsi="Times New Roman" w:eastAsia="仿宋"/>
          <w:sz w:val="28"/>
          <w:szCs w:val="28"/>
        </w:rPr>
        <w:t>浙江汉达机械有限公司</w:t>
      </w:r>
      <w:r>
        <w:rPr>
          <w:rFonts w:hint="eastAsia" w:eastAsia="仿宋"/>
          <w:sz w:val="28"/>
          <w:szCs w:val="28"/>
        </w:rPr>
        <w:t>年产</w:t>
      </w:r>
      <w:r>
        <w:rPr>
          <w:rFonts w:hint="default" w:ascii="Times New Roman" w:hAnsi="Times New Roman" w:eastAsia="仿宋" w:cs="Times New Roman"/>
          <w:sz w:val="28"/>
          <w:szCs w:val="28"/>
        </w:rPr>
        <w:t>500</w:t>
      </w:r>
      <w:r>
        <w:rPr>
          <w:rFonts w:hint="eastAsia" w:eastAsia="仿宋"/>
          <w:sz w:val="28"/>
          <w:szCs w:val="28"/>
        </w:rPr>
        <w:t>台数控组合机床技改项目</w:t>
      </w:r>
      <w:r>
        <w:rPr>
          <w:rFonts w:hint="eastAsia" w:ascii="仿宋" w:hAnsi="仿宋" w:eastAsia="仿宋"/>
          <w:sz w:val="28"/>
          <w:szCs w:val="28"/>
        </w:rPr>
        <w:t>基本落实了环评报告表及批复要求的环保设施，各类污染物排放达到相应标准要求，工作组建议进一步落实整改措施后通过建设项目竣工环保验收</w:t>
      </w:r>
      <w:r>
        <w:rPr>
          <w:rFonts w:hint="eastAsia" w:ascii="Times New Roman" w:hAnsi="Times New Roman" w:eastAsia="仿宋"/>
          <w:color w:val="000000"/>
          <w:sz w:val="28"/>
          <w:szCs w:val="28"/>
        </w:rPr>
        <w:t>。</w:t>
      </w:r>
    </w:p>
    <w:p>
      <w:pPr>
        <w:snapToGrid w:val="0"/>
        <w:spacing w:line="500" w:lineRule="exact"/>
        <w:ind w:firstLine="562" w:firstLineChars="200"/>
        <w:outlineLvl w:val="0"/>
        <w:rPr>
          <w:rFonts w:eastAsia="仿宋"/>
          <w:sz w:val="28"/>
          <w:szCs w:val="28"/>
        </w:rPr>
      </w:pPr>
      <w:bookmarkStart w:id="27" w:name="_Toc23650_WPSOffice_Level1"/>
      <w:bookmarkStart w:id="28" w:name="_Toc28019_WPSOffice_Level1"/>
      <w:r>
        <w:rPr>
          <w:rFonts w:hint="eastAsia" w:eastAsia="仿宋"/>
          <w:b/>
          <w:sz w:val="28"/>
          <w:szCs w:val="28"/>
        </w:rPr>
        <w:t>六、</w:t>
      </w:r>
      <w:r>
        <w:rPr>
          <w:rFonts w:eastAsia="仿宋"/>
          <w:b/>
          <w:sz w:val="28"/>
          <w:szCs w:val="28"/>
        </w:rPr>
        <w:t>后续要求</w:t>
      </w:r>
      <w:bookmarkEnd w:id="27"/>
      <w:bookmarkEnd w:id="28"/>
    </w:p>
    <w:p>
      <w:pPr>
        <w:pStyle w:val="9"/>
        <w:shd w:val="clear" w:color="auto" w:fill="FFFFFF"/>
        <w:spacing w:before="0" w:beforeAutospacing="0" w:after="0" w:afterAutospacing="0" w:line="500" w:lineRule="exact"/>
        <w:ind w:firstLine="560" w:firstLineChars="200"/>
        <w:jc w:val="both"/>
        <w:rPr>
          <w:rFonts w:hint="eastAsia" w:ascii="仿宋" w:hAnsi="仿宋" w:eastAsia="仿宋" w:cs="Times New Roman"/>
          <w:color w:val="3E3E3E"/>
          <w:sz w:val="28"/>
          <w:szCs w:val="28"/>
        </w:rPr>
      </w:pPr>
      <w:r>
        <w:rPr>
          <w:rFonts w:hint="eastAsia" w:ascii="仿宋" w:hAnsi="仿宋" w:eastAsia="仿宋" w:cs="Times New Roman"/>
          <w:color w:val="3E3E3E"/>
          <w:sz w:val="28"/>
          <w:szCs w:val="28"/>
        </w:rPr>
        <w:t>（一）验收监测单位</w:t>
      </w:r>
    </w:p>
    <w:p>
      <w:pPr>
        <w:pStyle w:val="14"/>
        <w:snapToGrid w:val="0"/>
        <w:spacing w:before="0" w:line="500" w:lineRule="exact"/>
        <w:ind w:firstLine="560"/>
        <w:rPr>
          <w:rFonts w:hint="eastAsia" w:ascii="Times New Roman" w:hAnsi="Times New Roman" w:eastAsia="仿宋"/>
          <w:color w:val="000000"/>
          <w:sz w:val="28"/>
          <w:szCs w:val="28"/>
        </w:rPr>
      </w:pPr>
      <w:r>
        <w:rPr>
          <w:rFonts w:hint="eastAsia" w:ascii="仿宋" w:hAnsi="仿宋" w:eastAsia="仿宋"/>
          <w:color w:val="3E3E3E"/>
          <w:sz w:val="28"/>
          <w:szCs w:val="28"/>
        </w:rPr>
        <w:t>依据项目环评及</w:t>
      </w:r>
      <w:r>
        <w:rPr>
          <w:rFonts w:hint="eastAsia" w:ascii="仿宋" w:hAnsi="仿宋" w:eastAsia="仿宋"/>
          <w:sz w:val="28"/>
          <w:szCs w:val="28"/>
        </w:rPr>
        <w:t>批复，</w:t>
      </w:r>
      <w:r>
        <w:rPr>
          <w:rFonts w:hint="eastAsia" w:ascii="仿宋" w:hAnsi="仿宋" w:eastAsia="仿宋"/>
          <w:color w:val="3E3E3E"/>
          <w:sz w:val="28"/>
          <w:szCs w:val="28"/>
        </w:rPr>
        <w:t>复核项目生产设备、生产工艺、污染物排放标准、配套环保设施建设情况相关资料，并按照生产要求进行分析说明;</w:t>
      </w:r>
      <w:r>
        <w:rPr>
          <w:rFonts w:hint="eastAsia" w:ascii="Times New Roman" w:hAnsi="Times New Roman" w:eastAsia="仿宋"/>
          <w:color w:val="000000"/>
          <w:sz w:val="28"/>
          <w:szCs w:val="28"/>
        </w:rPr>
        <w:t>按照《建设项目竣工环境保护验收技术指南 污染影响类》要求，</w:t>
      </w:r>
      <w:r>
        <w:rPr>
          <w:rFonts w:hint="eastAsia" w:ascii="仿宋" w:hAnsi="仿宋" w:eastAsia="仿宋"/>
          <w:color w:val="3E3E3E"/>
          <w:sz w:val="28"/>
          <w:szCs w:val="28"/>
        </w:rPr>
        <w:t>完善项目竣工《环保验收监测报告》</w:t>
      </w:r>
      <w:r>
        <w:rPr>
          <w:rFonts w:hint="eastAsia" w:ascii="Times New Roman" w:hAnsi="Times New Roman" w:eastAsia="仿宋"/>
          <w:color w:val="000000"/>
          <w:sz w:val="28"/>
          <w:szCs w:val="28"/>
        </w:rPr>
        <w:t>。</w:t>
      </w:r>
    </w:p>
    <w:p>
      <w:pPr>
        <w:pStyle w:val="9"/>
        <w:shd w:val="clear" w:color="auto" w:fill="FFFFFF"/>
        <w:spacing w:before="0" w:beforeAutospacing="0" w:after="0" w:afterAutospacing="0" w:line="500" w:lineRule="exact"/>
        <w:ind w:firstLine="560" w:firstLineChars="200"/>
        <w:jc w:val="both"/>
        <w:rPr>
          <w:rFonts w:hint="eastAsia" w:ascii="仿宋" w:hAnsi="仿宋" w:eastAsia="仿宋" w:cs="Times New Roman"/>
          <w:color w:val="3E3E3E"/>
          <w:sz w:val="28"/>
          <w:szCs w:val="28"/>
        </w:rPr>
      </w:pPr>
      <w:r>
        <w:rPr>
          <w:rFonts w:hint="eastAsia" w:ascii="仿宋" w:hAnsi="仿宋" w:eastAsia="仿宋" w:cs="Times New Roman"/>
          <w:color w:val="3E3E3E"/>
          <w:sz w:val="28"/>
          <w:szCs w:val="28"/>
        </w:rPr>
        <w:t>（二）建设单位</w:t>
      </w:r>
    </w:p>
    <w:p>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1、加强喷漆自然晾干通道废气的收集治理；定期更换低温等离子一体化设备中的活性炭。</w:t>
      </w:r>
    </w:p>
    <w:p>
      <w:pPr>
        <w:spacing w:line="500" w:lineRule="exact"/>
        <w:ind w:firstLine="560" w:firstLineChars="200"/>
        <w:rPr>
          <w:rFonts w:ascii="仿宋" w:hAnsi="仿宋" w:eastAsia="仿宋"/>
          <w:sz w:val="28"/>
          <w:szCs w:val="28"/>
        </w:rPr>
      </w:pPr>
      <w:r>
        <w:rPr>
          <w:rFonts w:hint="eastAsia" w:ascii="仿宋" w:hAnsi="仿宋" w:eastAsia="仿宋"/>
          <w:sz w:val="28"/>
          <w:szCs w:val="28"/>
        </w:rPr>
        <w:t>2、规范各类危险固废的暂存场所，完善各类危废的标志标识及台帐记录，严格按国家相关规定分质、分类处理，</w:t>
      </w:r>
      <w:r>
        <w:rPr>
          <w:rFonts w:hint="eastAsia" w:eastAsia="仿宋"/>
          <w:sz w:val="28"/>
          <w:szCs w:val="28"/>
        </w:rPr>
        <w:t>及时委托协议单位按规范处置</w:t>
      </w:r>
      <w:r>
        <w:rPr>
          <w:rFonts w:hint="eastAsia" w:ascii="仿宋" w:hAnsi="仿宋" w:eastAsia="仿宋"/>
          <w:sz w:val="28"/>
          <w:szCs w:val="28"/>
        </w:rPr>
        <w:t>。</w:t>
      </w:r>
    </w:p>
    <w:p>
      <w:pPr>
        <w:spacing w:line="500" w:lineRule="exact"/>
        <w:ind w:firstLine="560" w:firstLineChars="200"/>
        <w:rPr>
          <w:rFonts w:ascii="仿宋" w:hAnsi="仿宋" w:eastAsia="仿宋"/>
          <w:color w:val="3E3E3E"/>
          <w:sz w:val="28"/>
          <w:szCs w:val="28"/>
        </w:rPr>
      </w:pPr>
      <w:r>
        <w:rPr>
          <w:rFonts w:hint="eastAsia" w:ascii="仿宋" w:hAnsi="仿宋" w:eastAsia="仿宋"/>
          <w:color w:val="3E3E3E"/>
          <w:sz w:val="28"/>
          <w:szCs w:val="28"/>
        </w:rPr>
        <w:t>3、</w:t>
      </w:r>
      <w:r>
        <w:rPr>
          <w:rFonts w:ascii="仿宋" w:hAnsi="仿宋" w:eastAsia="仿宋"/>
          <w:color w:val="3E3E3E"/>
          <w:sz w:val="28"/>
          <w:szCs w:val="28"/>
        </w:rPr>
        <w:t>完善环保管理规章制度</w:t>
      </w:r>
      <w:r>
        <w:rPr>
          <w:rFonts w:hint="eastAsia" w:ascii="仿宋" w:hAnsi="仿宋" w:eastAsia="仿宋"/>
          <w:color w:val="3E3E3E"/>
          <w:sz w:val="28"/>
          <w:szCs w:val="28"/>
        </w:rPr>
        <w:t>，</w:t>
      </w:r>
      <w:r>
        <w:rPr>
          <w:rFonts w:ascii="仿宋" w:hAnsi="仿宋" w:eastAsia="仿宋"/>
          <w:color w:val="3E3E3E"/>
          <w:sz w:val="28"/>
          <w:szCs w:val="28"/>
        </w:rPr>
        <w:t>加强环保设施运行管理，规范操作规程，定期维护及保养环保设施，确保各项污染物达标排放；完善企业环保档案和各类环保台帐</w:t>
      </w:r>
      <w:r>
        <w:rPr>
          <w:rFonts w:hint="eastAsia" w:ascii="仿宋" w:hAnsi="仿宋" w:eastAsia="仿宋"/>
          <w:color w:val="3E3E3E"/>
          <w:sz w:val="28"/>
          <w:szCs w:val="28"/>
        </w:rPr>
        <w:t>。</w:t>
      </w:r>
    </w:p>
    <w:p>
      <w:pPr>
        <w:spacing w:line="500" w:lineRule="exact"/>
        <w:ind w:firstLine="560" w:firstLineChars="200"/>
        <w:rPr>
          <w:rFonts w:hint="eastAsia" w:ascii="仿宋" w:hAnsi="仿宋" w:eastAsia="仿宋"/>
          <w:sz w:val="28"/>
          <w:szCs w:val="28"/>
        </w:rPr>
      </w:pPr>
      <w:bookmarkStart w:id="29" w:name="_Hlk519700754"/>
      <w:r>
        <w:rPr>
          <w:rFonts w:hint="eastAsia" w:ascii="仿宋" w:hAnsi="仿宋" w:eastAsia="仿宋"/>
          <w:sz w:val="28"/>
          <w:szCs w:val="28"/>
        </w:rPr>
        <w:t>4、建设单位应及时向环保部门申请噪声和固废的环保验收。</w:t>
      </w:r>
    </w:p>
    <w:bookmarkEnd w:id="29"/>
    <w:p>
      <w:pPr>
        <w:pStyle w:val="14"/>
        <w:snapToGrid w:val="0"/>
        <w:spacing w:before="0" w:line="480" w:lineRule="exact"/>
        <w:ind w:firstLine="562"/>
        <w:rPr>
          <w:rFonts w:eastAsia="仿宋"/>
          <w:b/>
          <w:sz w:val="28"/>
          <w:szCs w:val="28"/>
        </w:rPr>
      </w:pPr>
      <w:bookmarkStart w:id="30" w:name="_Toc31723_WPSOffice_Level1"/>
      <w:bookmarkStart w:id="31" w:name="_Toc24473_WPSOffice_Level1"/>
      <w:r>
        <w:rPr>
          <w:rFonts w:hint="eastAsia" w:eastAsia="仿宋"/>
          <w:b/>
          <w:sz w:val="28"/>
          <w:szCs w:val="28"/>
        </w:rPr>
        <w:t>七、验收人员信息</w:t>
      </w:r>
      <w:bookmarkEnd w:id="30"/>
      <w:bookmarkEnd w:id="31"/>
    </w:p>
    <w:p>
      <w:pPr>
        <w:snapToGrid w:val="0"/>
        <w:spacing w:line="480" w:lineRule="exact"/>
        <w:ind w:firstLine="560" w:firstLineChars="200"/>
        <w:rPr>
          <w:rFonts w:hint="eastAsia" w:eastAsia="仿宋"/>
          <w:sz w:val="28"/>
          <w:szCs w:val="28"/>
        </w:rPr>
      </w:pPr>
      <w:r>
        <w:rPr>
          <w:rFonts w:hint="eastAsia" w:eastAsia="仿宋"/>
          <w:sz w:val="28"/>
          <w:szCs w:val="28"/>
        </w:rPr>
        <w:t>验收人员信息见附件“浙江汉达机械有限公司年产500台数控组合机床技改项目环保设施竣工环境保护验收工作组签到表”。</w:t>
      </w:r>
    </w:p>
    <w:p>
      <w:pPr>
        <w:snapToGrid w:val="0"/>
        <w:spacing w:line="480" w:lineRule="exact"/>
        <w:ind w:firstLine="560" w:firstLineChars="200"/>
        <w:rPr>
          <w:rFonts w:hint="eastAsia" w:eastAsia="仿宋"/>
          <w:sz w:val="28"/>
          <w:szCs w:val="28"/>
        </w:rPr>
      </w:pPr>
    </w:p>
    <w:p>
      <w:pPr>
        <w:snapToGrid w:val="0"/>
        <w:spacing w:line="480" w:lineRule="exact"/>
        <w:ind w:firstLine="560" w:firstLineChars="200"/>
        <w:rPr>
          <w:rFonts w:hint="eastAsia" w:eastAsia="仿宋"/>
          <w:sz w:val="28"/>
          <w:szCs w:val="28"/>
        </w:rPr>
      </w:pPr>
    </w:p>
    <w:p>
      <w:pPr>
        <w:snapToGrid w:val="0"/>
        <w:spacing w:line="480" w:lineRule="exact"/>
        <w:ind w:firstLine="560" w:firstLineChars="200"/>
        <w:rPr>
          <w:rFonts w:hint="eastAsia" w:eastAsia="仿宋"/>
          <w:sz w:val="28"/>
          <w:szCs w:val="28"/>
        </w:rPr>
      </w:pPr>
    </w:p>
    <w:p>
      <w:pPr>
        <w:snapToGrid w:val="0"/>
        <w:spacing w:line="480" w:lineRule="exact"/>
        <w:ind w:firstLine="560" w:firstLineChars="200"/>
        <w:rPr>
          <w:rFonts w:hint="eastAsia" w:eastAsia="仿宋"/>
          <w:sz w:val="28"/>
          <w:szCs w:val="28"/>
        </w:rPr>
      </w:pPr>
    </w:p>
    <w:p>
      <w:pPr>
        <w:snapToGrid w:val="0"/>
        <w:spacing w:line="480" w:lineRule="exact"/>
        <w:ind w:firstLine="562" w:firstLineChars="200"/>
        <w:rPr>
          <w:rFonts w:eastAsia="仿宋"/>
          <w:b/>
          <w:sz w:val="30"/>
          <w:szCs w:val="30"/>
        </w:rPr>
      </w:pPr>
      <w:r>
        <w:rPr>
          <w:rFonts w:eastAsia="仿宋"/>
          <w:b/>
          <w:sz w:val="28"/>
          <w:szCs w:val="28"/>
        </w:rPr>
        <w:t xml:space="preserve">  </w:t>
      </w:r>
      <w:bookmarkStart w:id="32" w:name="_Toc27006_WPSOffice_Level1"/>
      <w:bookmarkStart w:id="33" w:name="_Toc9809_WPSOffice_Level1"/>
      <w:r>
        <w:rPr>
          <w:rFonts w:hint="eastAsia" w:eastAsia="仿宋"/>
          <w:b/>
          <w:sz w:val="30"/>
          <w:szCs w:val="30"/>
        </w:rPr>
        <w:t>浙江汉达机械有限公司年产500台数控组合机床技改项目</w:t>
      </w:r>
      <w:bookmarkEnd w:id="32"/>
      <w:bookmarkEnd w:id="33"/>
    </w:p>
    <w:p>
      <w:pPr>
        <w:snapToGrid w:val="0"/>
        <w:spacing w:line="480" w:lineRule="exact"/>
        <w:jc w:val="center"/>
        <w:rPr>
          <w:rFonts w:hint="eastAsia" w:eastAsia="仿宋"/>
          <w:b/>
          <w:sz w:val="30"/>
          <w:szCs w:val="30"/>
        </w:rPr>
      </w:pPr>
      <w:r>
        <w:rPr>
          <w:rFonts w:hint="eastAsia" w:eastAsia="仿宋"/>
          <w:b/>
          <w:sz w:val="30"/>
          <w:szCs w:val="30"/>
          <w:lang w:val="en-US" w:eastAsia="zh-CN"/>
        </w:rPr>
        <w:t xml:space="preserve">               </w:t>
      </w:r>
      <w:bookmarkStart w:id="34" w:name="_Toc8362_WPSOffice_Level1"/>
      <w:bookmarkStart w:id="35" w:name="_Toc11549_WPSOffice_Level1"/>
      <w:r>
        <w:rPr>
          <w:rFonts w:hint="eastAsia" w:eastAsia="仿宋"/>
          <w:b/>
          <w:sz w:val="30"/>
          <w:szCs w:val="30"/>
        </w:rPr>
        <w:t>环保设施竣工环境保护验收工作组</w:t>
      </w:r>
      <w:bookmarkEnd w:id="34"/>
      <w:bookmarkEnd w:id="35"/>
    </w:p>
    <w:p>
      <w:pPr>
        <w:snapToGrid w:val="0"/>
        <w:spacing w:line="480" w:lineRule="exact"/>
        <w:ind w:firstLine="560" w:firstLineChars="200"/>
        <w:rPr>
          <w:rFonts w:eastAsia="仿宋"/>
          <w:sz w:val="28"/>
          <w:szCs w:val="28"/>
        </w:rPr>
      </w:pPr>
      <w:r>
        <w:rPr>
          <w:rFonts w:eastAsia="仿宋"/>
          <w:sz w:val="28"/>
          <w:szCs w:val="28"/>
        </w:rPr>
        <w:t xml:space="preserve">                             2018年</w:t>
      </w:r>
      <w:r>
        <w:rPr>
          <w:rFonts w:hint="eastAsia" w:eastAsia="仿宋"/>
          <w:sz w:val="28"/>
          <w:szCs w:val="28"/>
        </w:rPr>
        <w:t>7</w:t>
      </w:r>
      <w:r>
        <w:rPr>
          <w:rFonts w:eastAsia="仿宋"/>
          <w:sz w:val="28"/>
          <w:szCs w:val="28"/>
        </w:rPr>
        <w:t>月</w:t>
      </w:r>
      <w:r>
        <w:rPr>
          <w:rFonts w:hint="eastAsia" w:eastAsia="仿宋"/>
          <w:sz w:val="28"/>
          <w:szCs w:val="28"/>
        </w:rPr>
        <w:t>18</w:t>
      </w:r>
      <w:r>
        <w:rPr>
          <w:rFonts w:eastAsia="仿宋"/>
          <w:sz w:val="28"/>
          <w:szCs w:val="28"/>
        </w:rPr>
        <w:t>日</w:t>
      </w:r>
    </w:p>
    <w:p>
      <w:pPr>
        <w:snapToGrid w:val="0"/>
        <w:spacing w:line="480" w:lineRule="exact"/>
        <w:ind w:firstLine="560" w:firstLineChars="200"/>
        <w:rPr>
          <w:rFonts w:eastAsia="仿宋"/>
          <w:sz w:val="28"/>
          <w:szCs w:val="28"/>
        </w:rPr>
      </w:pPr>
    </w:p>
    <w:p>
      <w:pPr>
        <w:snapToGrid w:val="0"/>
        <w:spacing w:line="480" w:lineRule="exact"/>
        <w:ind w:firstLine="560" w:firstLineChars="200"/>
        <w:rPr>
          <w:rFonts w:eastAsia="仿宋"/>
          <w:sz w:val="28"/>
          <w:szCs w:val="28"/>
        </w:rPr>
      </w:pPr>
    </w:p>
    <w:p>
      <w:pPr>
        <w:snapToGrid w:val="0"/>
        <w:spacing w:line="480" w:lineRule="exact"/>
        <w:ind w:firstLine="560" w:firstLineChars="200"/>
        <w:rPr>
          <w:rFonts w:eastAsia="仿宋"/>
          <w:sz w:val="28"/>
          <w:szCs w:val="28"/>
        </w:rPr>
      </w:pPr>
    </w:p>
    <w:p>
      <w:pPr>
        <w:snapToGrid w:val="0"/>
        <w:spacing w:line="480" w:lineRule="exact"/>
        <w:ind w:firstLine="560" w:firstLineChars="200"/>
        <w:rPr>
          <w:rFonts w:eastAsia="仿宋"/>
          <w:sz w:val="28"/>
          <w:szCs w:val="28"/>
        </w:rPr>
      </w:pPr>
    </w:p>
    <w:p>
      <w:pPr>
        <w:snapToGrid w:val="0"/>
        <w:spacing w:line="480" w:lineRule="exact"/>
        <w:ind w:firstLine="560" w:firstLineChars="200"/>
        <w:rPr>
          <w:rFonts w:eastAsia="仿宋"/>
          <w:sz w:val="28"/>
          <w:szCs w:val="28"/>
        </w:rPr>
      </w:pPr>
    </w:p>
    <w:p>
      <w:pPr>
        <w:snapToGrid w:val="0"/>
        <w:spacing w:line="480" w:lineRule="exact"/>
        <w:ind w:firstLine="560" w:firstLineChars="200"/>
        <w:rPr>
          <w:rFonts w:eastAsia="仿宋"/>
          <w:sz w:val="28"/>
          <w:szCs w:val="28"/>
        </w:rPr>
      </w:pPr>
    </w:p>
    <w:p>
      <w:pPr>
        <w:pStyle w:val="2"/>
        <w:jc w:val="center"/>
        <w:rPr>
          <w:rFonts w:hint="default" w:ascii="Times New Roman" w:hAnsi="Times New Roman" w:eastAsia="宋体" w:cs="Times New Roman"/>
          <w:sz w:val="32"/>
          <w:szCs w:val="32"/>
          <w:lang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2"/>
        <w:jc w:val="left"/>
        <w:rPr>
          <w:rFonts w:hint="eastAsia" w:cs="Times New Roman"/>
          <w:sz w:val="32"/>
          <w:szCs w:val="32"/>
          <w:lang w:eastAsia="zh-CN"/>
        </w:rPr>
      </w:pPr>
      <w:bookmarkStart w:id="36" w:name="_Toc21269_WPSOffice_Level1"/>
      <w:bookmarkStart w:id="37" w:name="_Toc12433_WPSOffice_Level1"/>
      <w:r>
        <w:rPr>
          <w:rFonts w:hint="eastAsia" w:cs="Times New Roman"/>
          <w:sz w:val="32"/>
          <w:szCs w:val="32"/>
          <w:lang w:eastAsia="zh-CN"/>
        </w:rPr>
        <w:t>验收签到单</w:t>
      </w:r>
      <w:bookmarkEnd w:id="36"/>
      <w:bookmarkEnd w:id="37"/>
    </w:p>
    <w:p>
      <w:pPr>
        <w:rPr>
          <w:rFonts w:hint="eastAsia" w:cs="Times New Roman"/>
          <w:sz w:val="32"/>
          <w:szCs w:val="32"/>
          <w:lang w:eastAsia="zh-CN"/>
        </w:rPr>
      </w:pPr>
    </w:p>
    <w:p>
      <w:pPr>
        <w:rPr>
          <w:rFonts w:hint="default" w:cs="Times New Roman"/>
          <w:sz w:val="32"/>
          <w:szCs w:val="32"/>
          <w:lang w:eastAsia="zh-CN"/>
        </w:rPr>
        <w:sectPr>
          <w:pgSz w:w="11906" w:h="16838"/>
          <w:pgMar w:top="1440" w:right="1800" w:bottom="1440" w:left="1800" w:header="851" w:footer="992" w:gutter="0"/>
          <w:pgNumType w:fmt="decimal"/>
          <w:cols w:space="425" w:num="1"/>
          <w:docGrid w:type="lines" w:linePitch="312" w:charSpace="0"/>
        </w:sectPr>
      </w:pPr>
      <w:r>
        <w:rPr>
          <w:rFonts w:hint="default" w:cs="Times New Roman"/>
          <w:sz w:val="32"/>
          <w:szCs w:val="32"/>
          <w:lang w:eastAsia="zh-CN"/>
        </w:rPr>
        <w:drawing>
          <wp:inline distT="0" distB="0" distL="114300" distR="114300">
            <wp:extent cx="5272405" cy="7679690"/>
            <wp:effectExtent l="0" t="0" r="4445" b="16510"/>
            <wp:docPr id="11" name="图片 11" descr="汉达签到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汉达签到单"/>
                    <pic:cNvPicPr>
                      <a:picLocks noChangeAspect="1"/>
                    </pic:cNvPicPr>
                  </pic:nvPicPr>
                  <pic:blipFill>
                    <a:blip r:embed="rId8"/>
                    <a:stretch>
                      <a:fillRect/>
                    </a:stretch>
                  </pic:blipFill>
                  <pic:spPr>
                    <a:xfrm>
                      <a:off x="0" y="0"/>
                      <a:ext cx="5272405" cy="7679690"/>
                    </a:xfrm>
                    <a:prstGeom prst="rect">
                      <a:avLst/>
                    </a:prstGeom>
                  </pic:spPr>
                </pic:pic>
              </a:graphicData>
            </a:graphic>
          </wp:inline>
        </w:drawing>
      </w:r>
    </w:p>
    <w:p>
      <w:pPr>
        <w:pStyle w:val="2"/>
        <w:jc w:val="center"/>
        <w:rPr>
          <w:rFonts w:hint="default" w:ascii="Times New Roman" w:hAnsi="Times New Roman" w:eastAsia="宋体" w:cs="Times New Roman"/>
          <w:sz w:val="32"/>
          <w:szCs w:val="32"/>
          <w:lang w:eastAsia="zh-CN"/>
        </w:rPr>
      </w:pPr>
      <w:bookmarkStart w:id="38" w:name="_Toc9371_WPSOffice_Level1"/>
      <w:r>
        <w:rPr>
          <w:rFonts w:hint="default" w:ascii="Times New Roman" w:hAnsi="Times New Roman" w:eastAsia="宋体" w:cs="Times New Roman"/>
          <w:sz w:val="32"/>
          <w:szCs w:val="32"/>
          <w:lang w:eastAsia="zh-CN"/>
        </w:rPr>
        <w:t>浙江汉达机械有限公司</w:t>
      </w:r>
      <w:bookmarkEnd w:id="38"/>
    </w:p>
    <w:p>
      <w:pPr>
        <w:pStyle w:val="2"/>
        <w:jc w:val="center"/>
        <w:rPr>
          <w:rFonts w:hint="default" w:ascii="Times New Roman" w:hAnsi="Times New Roman" w:eastAsia="宋体" w:cs="Times New Roman"/>
          <w:sz w:val="32"/>
          <w:szCs w:val="32"/>
          <w:lang w:val="en-US" w:eastAsia="zh-CN"/>
        </w:rPr>
      </w:pPr>
      <w:bookmarkStart w:id="39" w:name="_Toc15227_WPSOffice_Level1"/>
      <w:r>
        <w:rPr>
          <w:rFonts w:hint="default" w:ascii="Times New Roman" w:hAnsi="Times New Roman" w:eastAsia="宋体" w:cs="Times New Roman"/>
          <w:sz w:val="32"/>
          <w:szCs w:val="32"/>
          <w:lang w:eastAsia="zh-CN"/>
        </w:rPr>
        <w:t>年产</w:t>
      </w:r>
      <w:r>
        <w:rPr>
          <w:rFonts w:hint="default" w:ascii="Times New Roman" w:hAnsi="Times New Roman" w:eastAsia="宋体" w:cs="Times New Roman"/>
          <w:sz w:val="32"/>
          <w:szCs w:val="32"/>
          <w:lang w:val="en-US" w:eastAsia="zh-CN"/>
        </w:rPr>
        <w:t>500台数控组合机床技改项整改工作情况</w:t>
      </w:r>
      <w:bookmarkEnd w:id="39"/>
    </w:p>
    <w:p>
      <w:pPr>
        <w:keepNext w:val="0"/>
        <w:keepLines w:val="0"/>
        <w:pageBreakBefore w:val="0"/>
        <w:widowControl w:val="0"/>
        <w:kinsoku/>
        <w:wordWrap/>
        <w:overflowPunct/>
        <w:topLinePunct w:val="0"/>
        <w:autoSpaceDE/>
        <w:autoSpaceDN/>
        <w:bidi w:val="0"/>
        <w:adjustRightInd/>
        <w:snapToGrid/>
        <w:spacing w:before="157" w:beforeLines="50" w:line="440" w:lineRule="atLeast"/>
        <w:ind w:firstLine="480" w:firstLineChars="200"/>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cs="Times New Roman"/>
        </w:rPr>
        <w:t>浙江汉达机械有限公司</w:t>
      </w:r>
      <w:r>
        <w:rPr>
          <w:rFonts w:hint="eastAsia" w:ascii="Times New Roman" w:hAnsi="Times New Roman" w:cs="Times New Roman"/>
          <w:lang w:eastAsia="zh-CN"/>
        </w:rPr>
        <w:t>投资</w:t>
      </w:r>
      <w:r>
        <w:rPr>
          <w:rFonts w:hint="eastAsia" w:ascii="Times New Roman" w:hAnsi="Times New Roman" w:cs="Times New Roman"/>
          <w:lang w:val="en-US" w:eastAsia="zh-CN"/>
        </w:rPr>
        <w:t>860万元在缙云县壶镇镇聚贤西路29号新增了年产500台数控组合机床技改生产流水线。2018年1月浙江汉达机械有限公司委托浙江省工业环保设计研究院有限公司编制了《浙江汉达机械有限公司年产500台数控组合机床技改项目环境影响报告表》，并获取了缙云县环境保护局的批文（缙环建园[2018]1号）。2018年1月浙江汉达机械有限公司委托浙江华普环境科技有限公司对其年产500台数控组合机床技改项目进行环境保护竣工验收。</w:t>
      </w:r>
      <w:r>
        <w:rPr>
          <w:rFonts w:hint="eastAsia" w:ascii="Times New Roman" w:hAnsi="Times New Roman" w:eastAsia="宋体" w:cs="Times New Roman"/>
          <w:sz w:val="24"/>
          <w:szCs w:val="24"/>
          <w:lang w:val="en-US" w:eastAsia="zh-CN"/>
        </w:rPr>
        <w:t>随后浙江华普环境科技有限公司为派专业人员对浙江汉达机械有限公司厂区进行现场勘查，并提出以下整改要求：</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line="440" w:lineRule="atLeast"/>
        <w:ind w:firstLine="480" w:firstLineChars="200"/>
        <w:textAlignment w:val="auto"/>
        <w:outlineLvl w:val="9"/>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sz w:val="24"/>
          <w:szCs w:val="24"/>
          <w:lang w:val="en-US" w:eastAsia="zh-CN"/>
        </w:rPr>
        <w:t>废气处理设施不完善，废气管道未按要求安装接入。</w:t>
      </w:r>
      <w:r>
        <w:rPr>
          <w:rFonts w:hint="eastAsia" w:ascii="Times New Roman" w:hAnsi="Times New Roman" w:eastAsia="宋体" w:cs="Times New Roman"/>
          <w:color w:val="000000"/>
          <w:sz w:val="24"/>
          <w:szCs w:val="24"/>
          <w:lang w:eastAsia="zh-CN"/>
        </w:rPr>
        <w:t>尽快完善废气处理设施，保证各污染物达标排放。</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atLeast"/>
        <w:ind w:firstLine="480"/>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浙江汉达机械有限公司根据浙江华普环境科技有限公司现场勘查提出的整改要求，做出了如下整改：</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atLeast"/>
        <w:ind w:firstLine="480"/>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浙江汉达机械有限公司委托绍兴顶研环保设备有限公司设计废气处理方案并安装了废气处理设施。喷漆房废气、喷漆台废气及烘干废气一并接入废气处理设施经水帘机+低温等离子一体化设备处理后经15m排气筒高空排放。</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atLeast"/>
        <w:ind w:firstLine="480"/>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浙江华普环境科技有限公司于2018年5月完成了《浙江汉达机械有限公司年产500台数控组合机床技改项目竣工环境保护验收监测报告》。2018年7月18日，浙江汉达机械有限公司组织召开了年产500台数控组合机床技改项目环境保护设施竣工验收会，参加会议的单位有：浙江丽缙园经发局、浙江省工业环保设计研究院有限公司（环评单位）、绍兴顶研环保设备有限公司（环保设施建设单位）、浙江华普环境科技有限公司（验收监测单位）。按照相关规范要求，成立了自行验收工作组（名单附后）。验收工作组意见如下：</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atLeast"/>
        <w:ind w:firstLine="480"/>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1、加强喷漆自然晾干通道废气的收集治理；定期更换低温等离子一体化设备中的活性炭。</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atLeast"/>
        <w:ind w:firstLine="480"/>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2、规范各类危险固废的暂存场所，完善各类危废的标志标识及台帐记录，严格按国家相关规定分质、分类处理，及时委托协议单位按规范处置。</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atLeast"/>
        <w:ind w:firstLine="480"/>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3、完善环保管理规章制度，加强环保设施运行管理，规范操作规程，定期维护及保养环保设施，确保各项污染物达标排放；完善企业环保档案和各类环保台帐。</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atLeast"/>
        <w:ind w:firstLine="480"/>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4、建设单位应及时向环保部门申请噪声和固废的环保验收。</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400" w:lineRule="atLeast"/>
        <w:ind w:firstLine="480" w:firstLineChars="200"/>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浙江华普环境科技有限公司积极听取专家的整改意见，根据验收意见，指导建设单位浙江汉达机械有限公司对本项目进行整改，并于2018年7月28日已完成全部整改，具体情况如下：</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400" w:lineRule="atLeast"/>
        <w:ind w:firstLine="480" w:firstLineChars="200"/>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1、加强了晾干通道的密闭性，加大烘干废气的收集效率。定期更换的废活性炭与漆渣一起处理。</w:t>
      </w:r>
    </w:p>
    <w:p>
      <w:pPr>
        <w:keepNext w:val="0"/>
        <w:keepLines w:val="0"/>
        <w:pageBreakBefore w:val="0"/>
        <w:widowControl/>
        <w:numPr>
          <w:ilvl w:val="0"/>
          <w:numId w:val="1"/>
        </w:numPr>
        <w:kinsoku/>
        <w:wordWrap/>
        <w:overflowPunct/>
        <w:topLinePunct w:val="0"/>
        <w:autoSpaceDE/>
        <w:autoSpaceDN/>
        <w:bidi w:val="0"/>
        <w:adjustRightInd/>
        <w:snapToGrid/>
        <w:spacing w:before="157" w:beforeLines="50" w:line="400" w:lineRule="atLeast"/>
        <w:ind w:left="0" w:leftChars="0" w:firstLine="480" w:firstLineChars="200"/>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危废仓库已按要求做好防渗防漏措施，危废台账记录安排工作人员记录填写。（详见附图1、附图2）</w:t>
      </w:r>
    </w:p>
    <w:p>
      <w:pPr>
        <w:keepNext w:val="0"/>
        <w:keepLines w:val="0"/>
        <w:pageBreakBefore w:val="0"/>
        <w:widowControl/>
        <w:numPr>
          <w:ilvl w:val="0"/>
          <w:numId w:val="1"/>
        </w:numPr>
        <w:kinsoku/>
        <w:wordWrap/>
        <w:overflowPunct/>
        <w:topLinePunct w:val="0"/>
        <w:autoSpaceDE/>
        <w:autoSpaceDN/>
        <w:bidi w:val="0"/>
        <w:adjustRightInd/>
        <w:snapToGrid/>
        <w:spacing w:before="157" w:beforeLines="50" w:line="400" w:lineRule="atLeast"/>
        <w:ind w:left="0" w:leftChars="0" w:firstLine="480" w:firstLineChars="200"/>
        <w:textAlignment w:val="auto"/>
        <w:outlineLvl w:val="9"/>
        <w:rPr>
          <w:rFonts w:hint="eastAsia"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val="en-US" w:eastAsia="zh-CN"/>
        </w:rPr>
        <w:t>安排专职人员对环保设施进行定期维护和保养，规范环保设施的操作规程，确保各项污染物达标排放（详见附图3）。</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400" w:lineRule="atLeast"/>
        <w:ind w:firstLine="480" w:firstLineChars="200"/>
        <w:jc w:val="left"/>
        <w:textAlignment w:val="auto"/>
        <w:outlineLvl w:val="9"/>
        <w:rPr>
          <w:rFonts w:hint="eastAsia"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浙江汉达机械有限公司年产500台数控组合机床技改项目的整改措施已按国家建设项目竣工环境保护验收技术指南及评审专家意见进行落实，浙江华普环境科技有限公司认为本次整改有效，具体的整改情况符合国家要求。</w:t>
      </w:r>
    </w:p>
    <w:p>
      <w:pPr>
        <w:keepNext w:val="0"/>
        <w:keepLines w:val="0"/>
        <w:pageBreakBefore w:val="0"/>
        <w:widowControl/>
        <w:numPr>
          <w:ilvl w:val="0"/>
          <w:numId w:val="0"/>
        </w:numPr>
        <w:kinsoku/>
        <w:wordWrap w:val="0"/>
        <w:overflowPunct/>
        <w:topLinePunct w:val="0"/>
        <w:autoSpaceDE/>
        <w:autoSpaceDN/>
        <w:bidi w:val="0"/>
        <w:adjustRightInd/>
        <w:snapToGrid/>
        <w:spacing w:before="157" w:beforeLines="50" w:line="400" w:lineRule="atLeast"/>
        <w:ind w:firstLine="5600" w:firstLineChars="2000"/>
        <w:jc w:val="both"/>
        <w:textAlignment w:val="auto"/>
        <w:outlineLvl w:val="9"/>
        <w:rPr>
          <w:rFonts w:hint="eastAsia" w:ascii="Times New Roman" w:hAnsi="Times New Roman" w:cs="Times New Roman"/>
          <w:color w:val="000000"/>
          <w:sz w:val="28"/>
          <w:szCs w:val="28"/>
          <w:lang w:val="en-US" w:eastAsia="zh-CN"/>
        </w:rPr>
      </w:pPr>
    </w:p>
    <w:p>
      <w:pPr>
        <w:keepNext w:val="0"/>
        <w:keepLines w:val="0"/>
        <w:pageBreakBefore w:val="0"/>
        <w:widowControl/>
        <w:numPr>
          <w:ilvl w:val="0"/>
          <w:numId w:val="0"/>
        </w:numPr>
        <w:kinsoku/>
        <w:wordWrap w:val="0"/>
        <w:overflowPunct/>
        <w:topLinePunct w:val="0"/>
        <w:autoSpaceDE/>
        <w:autoSpaceDN/>
        <w:bidi w:val="0"/>
        <w:adjustRightInd/>
        <w:snapToGrid/>
        <w:spacing w:before="157" w:beforeLines="50" w:line="400" w:lineRule="atLeast"/>
        <w:ind w:firstLine="1680" w:firstLineChars="600"/>
        <w:jc w:val="both"/>
        <w:textAlignment w:val="auto"/>
        <w:outlineLvl w:val="9"/>
        <w:rPr>
          <w:rFonts w:hint="eastAsia" w:ascii="Times New Roman" w:hAnsi="Times New Roman" w:cs="Times New Roman"/>
          <w:color w:val="000000"/>
          <w:sz w:val="28"/>
          <w:szCs w:val="28"/>
          <w:lang w:val="en-US" w:eastAsia="zh-CN"/>
        </w:rPr>
      </w:pPr>
    </w:p>
    <w:p>
      <w:pPr>
        <w:keepNext w:val="0"/>
        <w:keepLines w:val="0"/>
        <w:pageBreakBefore w:val="0"/>
        <w:widowControl/>
        <w:numPr>
          <w:ilvl w:val="0"/>
          <w:numId w:val="0"/>
        </w:numPr>
        <w:kinsoku/>
        <w:wordWrap w:val="0"/>
        <w:overflowPunct/>
        <w:topLinePunct w:val="0"/>
        <w:autoSpaceDE/>
        <w:autoSpaceDN/>
        <w:bidi w:val="0"/>
        <w:adjustRightInd/>
        <w:snapToGrid/>
        <w:spacing w:before="157" w:beforeLines="50" w:line="400" w:lineRule="atLeast"/>
        <w:ind w:firstLine="5040" w:firstLineChars="1800"/>
        <w:jc w:val="both"/>
        <w:textAlignment w:val="auto"/>
        <w:outlineLvl w:val="9"/>
        <w:rPr>
          <w:rFonts w:hint="eastAsia" w:ascii="Times New Roman" w:hAnsi="Times New Roman" w:cs="Times New Roman"/>
          <w:color w:val="000000"/>
          <w:sz w:val="28"/>
          <w:szCs w:val="28"/>
          <w:lang w:val="en-US" w:eastAsia="zh-CN"/>
        </w:rPr>
      </w:pPr>
      <w:r>
        <w:rPr>
          <w:rFonts w:hint="eastAsia" w:ascii="Times New Roman" w:hAnsi="Times New Roman" w:cs="Times New Roman"/>
          <w:color w:val="000000"/>
          <w:sz w:val="28"/>
          <w:szCs w:val="28"/>
          <w:lang w:val="en-US" w:eastAsia="zh-CN"/>
        </w:rPr>
        <w:t>浙江汉达机械有限公司                                            年   月   日</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400" w:lineRule="atLeast"/>
        <w:ind w:leftChars="200"/>
        <w:textAlignment w:val="auto"/>
        <w:outlineLvl w:val="9"/>
        <w:rPr>
          <w:rFonts w:hint="eastAsia" w:ascii="Times New Roman" w:hAnsi="Times New Roman" w:eastAsia="宋体" w:cs="Times New Roman"/>
          <w:color w:val="000000"/>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400" w:lineRule="atLeast"/>
        <w:ind w:firstLine="480" w:firstLineChars="200"/>
        <w:textAlignment w:val="auto"/>
        <w:outlineLvl w:val="9"/>
        <w:rPr>
          <w:rFonts w:hint="eastAsia" w:ascii="Times New Roman" w:hAnsi="Times New Roman" w:eastAsia="宋体" w:cs="Times New Roman"/>
          <w:color w:val="00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atLeast"/>
        <w:ind w:firstLine="480"/>
        <w:textAlignment w:val="auto"/>
        <w:outlineLvl w:val="9"/>
        <w:rPr>
          <w:rFonts w:hint="eastAsia" w:ascii="Times New Roman" w:hAnsi="Times New Roman" w:eastAsia="宋体" w:cs="Times New Roman"/>
          <w:color w:val="00000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atLeast"/>
        <w:ind w:firstLine="480"/>
        <w:textAlignment w:val="auto"/>
        <w:outlineLvl w:val="9"/>
        <w:rPr>
          <w:rFonts w:hint="eastAsia" w:ascii="Times New Roman" w:hAnsi="Times New Roman" w:eastAsia="宋体" w:cs="Times New Roman"/>
          <w:color w:val="000000"/>
          <w:sz w:val="24"/>
          <w:szCs w:val="24"/>
          <w:lang w:val="en-US" w:eastAsia="zh-CN"/>
        </w:rPr>
      </w:pPr>
    </w:p>
    <w:p>
      <w:pPr>
        <w:rPr>
          <w:rFonts w:hint="eastAsia" w:ascii="Times New Roman" w:hAnsi="Times New Roman" w:eastAsia="宋体" w:cs="Times New Roman"/>
          <w:b/>
          <w:bCs/>
          <w:sz w:val="24"/>
          <w:szCs w:val="24"/>
          <w:lang w:val="en-US" w:eastAsia="zh-CN"/>
        </w:rPr>
      </w:pPr>
      <w:bookmarkStart w:id="40" w:name="_Toc7821_WPSOffice_Level1"/>
      <w:bookmarkStart w:id="41" w:name="_Toc22958_WPSOffice_Level1"/>
      <w:bookmarkStart w:id="42" w:name="_Toc4943_WPSOffice_Level1"/>
      <w:r>
        <w:rPr>
          <w:rFonts w:hint="eastAsia" w:ascii="Times New Roman" w:hAnsi="Times New Roman" w:eastAsia="宋体" w:cs="Times New Roman"/>
          <w:b/>
          <w:bCs/>
          <w:sz w:val="24"/>
          <w:szCs w:val="24"/>
          <w:lang w:val="en-US" w:eastAsia="zh-CN"/>
        </w:rPr>
        <w:t>附图1 危废仓库</w:t>
      </w:r>
      <w:bookmarkEnd w:id="40"/>
      <w:bookmarkEnd w:id="41"/>
      <w:bookmarkEnd w:id="42"/>
    </w:p>
    <w:p>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5266055" cy="8155305"/>
            <wp:effectExtent l="0" t="0" r="10795" b="17145"/>
            <wp:docPr id="1" name="图片 1" descr="73145063049327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31450630493274006"/>
                    <pic:cNvPicPr>
                      <a:picLocks noChangeAspect="1"/>
                    </pic:cNvPicPr>
                  </pic:nvPicPr>
                  <pic:blipFill>
                    <a:blip r:embed="rId9"/>
                    <a:stretch>
                      <a:fillRect/>
                    </a:stretch>
                  </pic:blipFill>
                  <pic:spPr>
                    <a:xfrm>
                      <a:off x="0" y="0"/>
                      <a:ext cx="5266055" cy="8155305"/>
                    </a:xfrm>
                    <a:prstGeom prst="rect">
                      <a:avLst/>
                    </a:prstGeom>
                  </pic:spPr>
                </pic:pic>
              </a:graphicData>
            </a:graphic>
          </wp:inline>
        </w:drawing>
      </w:r>
    </w:p>
    <w:p>
      <w:pPr>
        <w:rPr>
          <w:rFonts w:hint="eastAsia" w:ascii="Times New Roman" w:hAnsi="Times New Roman" w:eastAsia="宋体" w:cs="Times New Roman"/>
          <w:b/>
          <w:bCs/>
          <w:sz w:val="24"/>
          <w:szCs w:val="24"/>
          <w:lang w:val="en-US" w:eastAsia="zh-CN"/>
        </w:rPr>
      </w:pPr>
    </w:p>
    <w:p>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5266055" cy="8498205"/>
            <wp:effectExtent l="0" t="0" r="10795" b="17145"/>
            <wp:docPr id="2" name="图片 2" descr="90519757095370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05197570953704794"/>
                    <pic:cNvPicPr>
                      <a:picLocks noChangeAspect="1"/>
                    </pic:cNvPicPr>
                  </pic:nvPicPr>
                  <pic:blipFill>
                    <a:blip r:embed="rId10"/>
                    <a:stretch>
                      <a:fillRect/>
                    </a:stretch>
                  </pic:blipFill>
                  <pic:spPr>
                    <a:xfrm>
                      <a:off x="0" y="0"/>
                      <a:ext cx="5266055" cy="8498205"/>
                    </a:xfrm>
                    <a:prstGeom prst="rect">
                      <a:avLst/>
                    </a:prstGeom>
                  </pic:spPr>
                </pic:pic>
              </a:graphicData>
            </a:graphic>
          </wp:inline>
        </w:drawing>
      </w:r>
    </w:p>
    <w:p>
      <w:pPr>
        <w:rPr>
          <w:rFonts w:hint="eastAsia" w:ascii="Times New Roman" w:hAnsi="Times New Roman" w:eastAsia="宋体" w:cs="Times New Roman"/>
          <w:b/>
          <w:bCs/>
          <w:sz w:val="24"/>
          <w:szCs w:val="24"/>
          <w:lang w:val="en-US" w:eastAsia="zh-CN"/>
        </w:rPr>
      </w:pPr>
    </w:p>
    <w:p>
      <w:pPr>
        <w:rPr>
          <w:rFonts w:hint="eastAsia" w:ascii="Times New Roman" w:hAnsi="Times New Roman" w:eastAsia="宋体" w:cs="Times New Roman"/>
          <w:b/>
          <w:bCs/>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rPr>
          <w:rFonts w:hint="eastAsia" w:ascii="Times New Roman" w:hAnsi="Times New Roman" w:eastAsia="宋体" w:cs="Times New Roman"/>
          <w:b/>
          <w:bCs/>
          <w:sz w:val="24"/>
          <w:szCs w:val="24"/>
          <w:lang w:val="en-US" w:eastAsia="zh-CN"/>
        </w:rPr>
      </w:pPr>
      <w:bookmarkStart w:id="43" w:name="_Toc6478_WPSOffice_Level1"/>
      <w:bookmarkStart w:id="44" w:name="_Toc11462_WPSOffice_Level1"/>
      <w:bookmarkStart w:id="45" w:name="_Toc5673_WPSOffice_Level1"/>
      <w:r>
        <w:rPr>
          <w:rFonts w:hint="eastAsia" w:ascii="Times New Roman" w:hAnsi="Times New Roman" w:eastAsia="宋体" w:cs="Times New Roman"/>
          <w:b/>
          <w:bCs/>
          <w:sz w:val="24"/>
          <w:szCs w:val="24"/>
          <w:lang w:val="en-US" w:eastAsia="zh-CN"/>
        </w:rPr>
        <w:t>附图2 危废台账记录</w:t>
      </w:r>
      <w:bookmarkEnd w:id="43"/>
      <w:bookmarkEnd w:id="44"/>
      <w:bookmarkEnd w:id="45"/>
    </w:p>
    <w:p>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4857115" cy="8869680"/>
            <wp:effectExtent l="0" t="0" r="7620" b="635"/>
            <wp:docPr id="3" name="图片 3" descr="24236363149355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42363631493552245"/>
                    <pic:cNvPicPr>
                      <a:picLocks noChangeAspect="1"/>
                    </pic:cNvPicPr>
                  </pic:nvPicPr>
                  <pic:blipFill>
                    <a:blip r:embed="rId11"/>
                    <a:stretch>
                      <a:fillRect/>
                    </a:stretch>
                  </pic:blipFill>
                  <pic:spPr>
                    <a:xfrm rot="16200000">
                      <a:off x="0" y="0"/>
                      <a:ext cx="4857115" cy="8869680"/>
                    </a:xfrm>
                    <a:prstGeom prst="rect">
                      <a:avLst/>
                    </a:prstGeom>
                  </pic:spPr>
                </pic:pic>
              </a:graphicData>
            </a:graphic>
          </wp:inline>
        </w:drawing>
      </w:r>
    </w:p>
    <w:p>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5076190" cy="8876030"/>
            <wp:effectExtent l="0" t="0" r="1270" b="10160"/>
            <wp:docPr id="4" name="图片 4" descr="91769510149718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7695101497187830"/>
                    <pic:cNvPicPr>
                      <a:picLocks noChangeAspect="1"/>
                    </pic:cNvPicPr>
                  </pic:nvPicPr>
                  <pic:blipFill>
                    <a:blip r:embed="rId12"/>
                    <a:srcRect l="9367" b="3460"/>
                    <a:stretch>
                      <a:fillRect/>
                    </a:stretch>
                  </pic:blipFill>
                  <pic:spPr>
                    <a:xfrm rot="16200000">
                      <a:off x="0" y="0"/>
                      <a:ext cx="5076190" cy="8876030"/>
                    </a:xfrm>
                    <a:prstGeom prst="rect">
                      <a:avLst/>
                    </a:prstGeom>
                  </pic:spPr>
                </pic:pic>
              </a:graphicData>
            </a:graphic>
          </wp:inline>
        </w:drawing>
      </w:r>
    </w:p>
    <w:p>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5123815" cy="8714105"/>
            <wp:effectExtent l="0" t="0" r="10795" b="635"/>
            <wp:docPr id="5" name="图片 5" descr="85148613688443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51486136884435310"/>
                    <pic:cNvPicPr>
                      <a:picLocks noChangeAspect="1"/>
                    </pic:cNvPicPr>
                  </pic:nvPicPr>
                  <pic:blipFill>
                    <a:blip r:embed="rId13"/>
                    <a:srcRect l="4667" r="3311" b="2341"/>
                    <a:stretch>
                      <a:fillRect/>
                    </a:stretch>
                  </pic:blipFill>
                  <pic:spPr>
                    <a:xfrm rot="16200000">
                      <a:off x="0" y="0"/>
                      <a:ext cx="5123815" cy="8714105"/>
                    </a:xfrm>
                    <a:prstGeom prst="rect">
                      <a:avLst/>
                    </a:prstGeom>
                  </pic:spPr>
                </pic:pic>
              </a:graphicData>
            </a:graphic>
          </wp:inline>
        </w:drawing>
      </w:r>
    </w:p>
    <w:p>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5174615" cy="8866505"/>
            <wp:effectExtent l="0" t="0" r="10795" b="6985"/>
            <wp:docPr id="6" name="图片 6" descr="44753264096587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47532640965875117"/>
                    <pic:cNvPicPr>
                      <a:picLocks noChangeAspect="1"/>
                    </pic:cNvPicPr>
                  </pic:nvPicPr>
                  <pic:blipFill>
                    <a:blip r:embed="rId14"/>
                    <a:srcRect l="8057" b="214"/>
                    <a:stretch>
                      <a:fillRect/>
                    </a:stretch>
                  </pic:blipFill>
                  <pic:spPr>
                    <a:xfrm rot="16200000">
                      <a:off x="0" y="0"/>
                      <a:ext cx="5174615" cy="8866505"/>
                    </a:xfrm>
                    <a:prstGeom prst="rect">
                      <a:avLst/>
                    </a:prstGeom>
                  </pic:spPr>
                </pic:pic>
              </a:graphicData>
            </a:graphic>
          </wp:inline>
        </w:drawing>
      </w:r>
    </w:p>
    <w:p>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5113655" cy="8923655"/>
            <wp:effectExtent l="0" t="0" r="10795" b="10795"/>
            <wp:docPr id="7" name="图片 7" descr="59579824203015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95798242030150326"/>
                    <pic:cNvPicPr>
                      <a:picLocks noChangeAspect="1"/>
                    </pic:cNvPicPr>
                  </pic:nvPicPr>
                  <pic:blipFill>
                    <a:blip r:embed="rId15"/>
                    <a:srcRect l="8641" b="-214"/>
                    <a:stretch>
                      <a:fillRect/>
                    </a:stretch>
                  </pic:blipFill>
                  <pic:spPr>
                    <a:xfrm rot="16200000">
                      <a:off x="0" y="0"/>
                      <a:ext cx="5113655" cy="8923655"/>
                    </a:xfrm>
                    <a:prstGeom prst="rect">
                      <a:avLst/>
                    </a:prstGeom>
                  </pic:spPr>
                </pic:pic>
              </a:graphicData>
            </a:graphic>
          </wp:inline>
        </w:drawing>
      </w:r>
    </w:p>
    <w:p>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5064760" cy="8837930"/>
            <wp:effectExtent l="0" t="0" r="1270" b="2540"/>
            <wp:docPr id="8" name="图片 8" descr="75894390632379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58943906323799784"/>
                    <pic:cNvPicPr>
                      <a:picLocks noChangeAspect="1"/>
                    </pic:cNvPicPr>
                  </pic:nvPicPr>
                  <pic:blipFill>
                    <a:blip r:embed="rId16"/>
                    <a:srcRect l="8181" b="208"/>
                    <a:stretch>
                      <a:fillRect/>
                    </a:stretch>
                  </pic:blipFill>
                  <pic:spPr>
                    <a:xfrm rot="16200000">
                      <a:off x="0" y="0"/>
                      <a:ext cx="5064760" cy="8837930"/>
                    </a:xfrm>
                    <a:prstGeom prst="rect">
                      <a:avLst/>
                    </a:prstGeom>
                  </pic:spPr>
                </pic:pic>
              </a:graphicData>
            </a:graphic>
          </wp:inline>
        </w:drawing>
      </w:r>
    </w:p>
    <w:p>
      <w:pPr>
        <w:rPr>
          <w:rFonts w:hint="eastAsia" w:ascii="Times New Roman" w:hAnsi="Times New Roman" w:eastAsia="宋体" w:cs="Times New Roman"/>
          <w:b/>
          <w:bCs/>
          <w:sz w:val="24"/>
          <w:szCs w:val="24"/>
          <w:lang w:val="en-US" w:eastAsia="zh-CN"/>
        </w:rPr>
      </w:pPr>
      <w:bookmarkStart w:id="46" w:name="_Toc18049_WPSOffice_Level1"/>
      <w:bookmarkStart w:id="47" w:name="_Toc14337_WPSOffice_Level1"/>
      <w:bookmarkStart w:id="48" w:name="_Toc3984_WPSOffice_Level1"/>
      <w:r>
        <w:rPr>
          <w:rFonts w:hint="eastAsia" w:ascii="Times New Roman" w:hAnsi="Times New Roman" w:eastAsia="宋体" w:cs="Times New Roman"/>
          <w:b/>
          <w:bCs/>
          <w:sz w:val="24"/>
          <w:szCs w:val="24"/>
          <w:lang w:val="en-US" w:eastAsia="zh-CN"/>
        </w:rPr>
        <w:t>附图3环保设备维护保养记录</w:t>
      </w:r>
      <w:bookmarkEnd w:id="46"/>
      <w:bookmarkEnd w:id="47"/>
      <w:bookmarkEnd w:id="48"/>
    </w:p>
    <w:p>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8841105" cy="4932680"/>
            <wp:effectExtent l="0" t="0" r="17145" b="1270"/>
            <wp:docPr id="9" name="图片 9" descr="49114861200427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91148612004274267"/>
                    <pic:cNvPicPr>
                      <a:picLocks noChangeAspect="1"/>
                    </pic:cNvPicPr>
                  </pic:nvPicPr>
                  <pic:blipFill>
                    <a:blip r:embed="rId17"/>
                    <a:srcRect b="3897"/>
                    <a:stretch>
                      <a:fillRect/>
                    </a:stretch>
                  </pic:blipFill>
                  <pic:spPr>
                    <a:xfrm rot="10800000">
                      <a:off x="0" y="0"/>
                      <a:ext cx="8841105" cy="4932680"/>
                    </a:xfrm>
                    <a:prstGeom prst="rect">
                      <a:avLst/>
                    </a:prstGeom>
                  </pic:spPr>
                </pic:pic>
              </a:graphicData>
            </a:graphic>
          </wp:inline>
        </w:drawing>
      </w:r>
    </w:p>
    <w:p>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inline distT="0" distB="0" distL="114300" distR="114300">
            <wp:extent cx="8684895" cy="5055870"/>
            <wp:effectExtent l="0" t="0" r="1905" b="11430"/>
            <wp:docPr id="10" name="图片 10" descr="50870973558735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08709735587352831"/>
                    <pic:cNvPicPr>
                      <a:picLocks noChangeAspect="1"/>
                    </pic:cNvPicPr>
                  </pic:nvPicPr>
                  <pic:blipFill>
                    <a:blip r:embed="rId18"/>
                    <a:srcRect l="791" t="8139"/>
                    <a:stretch>
                      <a:fillRect/>
                    </a:stretch>
                  </pic:blipFill>
                  <pic:spPr>
                    <a:xfrm rot="10800000">
                      <a:off x="0" y="0"/>
                      <a:ext cx="8684895" cy="5055870"/>
                    </a:xfrm>
                    <a:prstGeom prst="rect">
                      <a:avLst/>
                    </a:prstGeom>
                  </pic:spPr>
                </pic:pic>
              </a:graphicData>
            </a:graphic>
          </wp:inline>
        </w:drawing>
      </w:r>
    </w:p>
    <w:p>
      <w:pPr>
        <w:snapToGrid w:val="0"/>
        <w:spacing w:line="480" w:lineRule="exact"/>
        <w:ind w:firstLine="560" w:firstLineChars="200"/>
        <w:rPr>
          <w:rFonts w:eastAsia="仿宋"/>
          <w:sz w:val="28"/>
          <w:szCs w:val="28"/>
        </w:rPr>
        <w:sectPr>
          <w:pgSz w:w="16838" w:h="11906" w:orient="landscape"/>
          <w:pgMar w:top="1800" w:right="1440" w:bottom="1800" w:left="1440" w:header="851" w:footer="992" w:gutter="0"/>
          <w:pgNumType w:fmt="decimal"/>
          <w:cols w:space="425" w:num="1"/>
          <w:docGrid w:type="lines" w:linePitch="312" w:charSpace="0"/>
        </w:sectPr>
      </w:pPr>
    </w:p>
    <w:p>
      <w:pPr>
        <w:snapToGrid w:val="0"/>
        <w:spacing w:line="480" w:lineRule="exact"/>
        <w:ind w:firstLine="560" w:firstLineChars="200"/>
        <w:rPr>
          <w:rFonts w:eastAsia="仿宋"/>
          <w:sz w:val="28"/>
          <w:szCs w:val="28"/>
        </w:rPr>
      </w:pPr>
    </w:p>
    <w:p>
      <w:pPr>
        <w:pStyle w:val="2"/>
        <w:rPr>
          <w:rFonts w:hint="eastAsia"/>
          <w:lang w:eastAsia="zh-CN"/>
        </w:rPr>
      </w:pPr>
      <w:bookmarkStart w:id="49" w:name="_Toc1971_WPSOffice_Level1"/>
      <w:bookmarkStart w:id="50" w:name="_Toc31401_WPSOffice_Level1"/>
      <w:r>
        <w:rPr>
          <w:rFonts w:hint="eastAsia"/>
          <w:lang w:eastAsia="zh-CN"/>
        </w:rPr>
        <w:t>废气处理设计方案</w:t>
      </w:r>
      <w:bookmarkEnd w:id="49"/>
      <w:bookmarkEnd w:id="50"/>
    </w:p>
    <w:p/>
    <w:p>
      <w:pPr>
        <w:spacing w:after="156" w:afterLines="50"/>
        <w:jc w:val="center"/>
        <w:rPr>
          <w:rFonts w:hint="eastAsia" w:ascii="幼圆" w:hAnsi="华文楷体" w:eastAsia="幼圆"/>
          <w:b/>
          <w:bCs/>
          <w:sz w:val="72"/>
          <w:szCs w:val="72"/>
          <w:u w:val="single"/>
        </w:rPr>
      </w:pPr>
      <w:r>
        <w:rPr>
          <w:rFonts w:hint="eastAsia" w:ascii="华文行楷" w:hAnsi="华文行楷" w:eastAsia="华文行楷" w:cs="华文行楷"/>
          <w:b/>
          <w:bCs/>
          <w:sz w:val="72"/>
          <w:szCs w:val="72"/>
          <w:u w:val="single"/>
        </w:rPr>
        <w:t xml:space="preserve"> </w:t>
      </w:r>
      <w:r>
        <w:rPr>
          <w:rFonts w:hint="eastAsia" w:ascii="华文行楷" w:hAnsi="华文行楷" w:eastAsia="华文行楷" w:cs="华文行楷"/>
          <w:b/>
          <w:bCs/>
          <w:sz w:val="72"/>
          <w:szCs w:val="72"/>
          <w:u w:val="single"/>
          <w:lang w:eastAsia="zh-CN"/>
        </w:rPr>
        <w:t>方</w:t>
      </w:r>
      <w:r>
        <w:rPr>
          <w:rFonts w:hint="eastAsia" w:ascii="华文行楷" w:hAnsi="华文行楷" w:eastAsia="华文行楷" w:cs="华文行楷"/>
          <w:b/>
          <w:bCs/>
          <w:sz w:val="72"/>
          <w:szCs w:val="72"/>
          <w:u w:val="single"/>
          <w:lang w:val="en-US" w:eastAsia="zh-CN"/>
        </w:rPr>
        <w:t xml:space="preserve"> </w:t>
      </w:r>
      <w:r>
        <w:rPr>
          <w:rFonts w:hint="eastAsia" w:ascii="华文行楷" w:hAnsi="华文行楷" w:eastAsia="华文行楷" w:cs="华文行楷"/>
          <w:b/>
          <w:bCs/>
          <w:sz w:val="72"/>
          <w:szCs w:val="72"/>
          <w:u w:val="single"/>
          <w:lang w:eastAsia="zh-CN"/>
        </w:rPr>
        <w:t>案</w:t>
      </w:r>
      <w:r>
        <w:rPr>
          <w:rFonts w:hint="eastAsia" w:ascii="华文行楷" w:hAnsi="华文行楷" w:eastAsia="华文行楷" w:cs="华文行楷"/>
          <w:b/>
          <w:bCs/>
          <w:sz w:val="72"/>
          <w:szCs w:val="72"/>
          <w:u w:val="single"/>
          <w:lang w:val="en-US" w:eastAsia="zh-CN"/>
        </w:rPr>
        <w:t xml:space="preserve"> </w:t>
      </w:r>
      <w:r>
        <w:rPr>
          <w:rFonts w:hint="eastAsia" w:ascii="华文行楷" w:hAnsi="华文行楷" w:eastAsia="华文行楷" w:cs="华文行楷"/>
          <w:b/>
          <w:bCs/>
          <w:sz w:val="72"/>
          <w:szCs w:val="72"/>
          <w:u w:val="single"/>
          <w:lang w:eastAsia="zh-CN"/>
        </w:rPr>
        <w:t>书</w:t>
      </w:r>
      <w:r>
        <w:rPr>
          <w:rFonts w:hint="eastAsia" w:ascii="幼圆" w:hAnsi="华文楷体" w:eastAsia="幼圆"/>
          <w:b/>
          <w:bCs/>
          <w:sz w:val="72"/>
          <w:szCs w:val="72"/>
          <w:u w:val="single"/>
        </w:rPr>
        <w:t xml:space="preserve">    </w:t>
      </w:r>
      <w:r>
        <w:rPr>
          <w:rFonts w:hint="eastAsia" w:ascii="幼圆" w:hAnsi="华文楷体" w:eastAsia="幼圆"/>
          <w:b/>
          <w:bCs/>
          <w:sz w:val="28"/>
          <w:szCs w:val="28"/>
          <w:u w:val="single"/>
        </w:rPr>
        <w:t>TENDER  DOCUMENT</w:t>
      </w:r>
      <w:r>
        <w:rPr>
          <w:rFonts w:hint="eastAsia" w:ascii="幼圆" w:hAnsi="华文楷体" w:eastAsia="幼圆"/>
          <w:b/>
          <w:bCs/>
          <w:sz w:val="72"/>
          <w:szCs w:val="72"/>
          <w:u w:val="single"/>
        </w:rPr>
        <w:t xml:space="preserve"> </w:t>
      </w:r>
    </w:p>
    <w:p>
      <w:pPr>
        <w:spacing w:after="156" w:afterLines="50"/>
        <w:jc w:val="center"/>
        <w:rPr>
          <w:rFonts w:hint="eastAsia" w:ascii="幼圆" w:eastAsia="幼圆"/>
          <w:bCs/>
          <w:sz w:val="36"/>
          <w:szCs w:val="36"/>
        </w:rPr>
      </w:pPr>
    </w:p>
    <w:p>
      <w:pPr>
        <w:pStyle w:val="7"/>
        <w:jc w:val="left"/>
        <w:rPr>
          <w:rFonts w:hint="eastAsia" w:ascii="黑体" w:hAnsi="黑体" w:eastAsia="黑体" w:cs="黑体"/>
          <w:sz w:val="36"/>
          <w:szCs w:val="36"/>
        </w:rPr>
      </w:pPr>
      <w:r>
        <w:rPr>
          <w:rFonts w:hint="eastAsia" w:ascii="幼圆" w:hAnsi="华文楷体" w:eastAsia="幼圆"/>
          <w:lang w:val="en-US" w:eastAsia="zh-CN"/>
        </w:rPr>
        <w:t xml:space="preserve">      </w:t>
      </w:r>
      <w:bookmarkStart w:id="51" w:name="_Toc22856"/>
      <w:bookmarkStart w:id="52" w:name="_Toc12784"/>
      <w:bookmarkStart w:id="53" w:name="_Toc27790"/>
      <w:bookmarkStart w:id="54" w:name="_Toc26409"/>
      <w:bookmarkStart w:id="55" w:name="_Toc27368"/>
      <w:bookmarkStart w:id="56" w:name="_Toc17962_WPSOffice_Level1"/>
      <w:bookmarkStart w:id="57" w:name="_Toc17824_WPSOffice_Level1"/>
      <w:bookmarkStart w:id="58" w:name="_Toc23520_WPSOffice_Level1"/>
      <w:r>
        <w:rPr>
          <w:rFonts w:hint="eastAsia" w:ascii="幼圆" w:hAnsi="华文楷体" w:eastAsia="幼圆"/>
        </w:rPr>
        <w:t>项目名称：</w:t>
      </w:r>
      <w:r>
        <w:rPr>
          <w:rFonts w:hint="eastAsia"/>
          <w:b/>
          <w:sz w:val="30"/>
          <w:szCs w:val="30"/>
          <w:lang w:val="en-US" w:eastAsia="zh-CN"/>
        </w:rPr>
        <w:t>喷漆</w:t>
      </w:r>
      <w:r>
        <w:rPr>
          <w:rFonts w:hint="eastAsia"/>
          <w:b/>
          <w:sz w:val="30"/>
          <w:szCs w:val="30"/>
          <w:lang w:eastAsia="zh-CN"/>
        </w:rPr>
        <w:t>废气治理</w:t>
      </w:r>
      <w:bookmarkEnd w:id="51"/>
      <w:bookmarkEnd w:id="52"/>
      <w:bookmarkEnd w:id="53"/>
      <w:bookmarkEnd w:id="54"/>
      <w:bookmarkEnd w:id="55"/>
      <w:bookmarkEnd w:id="56"/>
      <w:bookmarkEnd w:id="57"/>
      <w:bookmarkEnd w:id="58"/>
    </w:p>
    <w:p>
      <w:pPr>
        <w:jc w:val="left"/>
        <w:rPr>
          <w:rFonts w:hint="eastAsia" w:ascii="幼圆" w:hAnsi="华文楷体" w:eastAsia="幼圆"/>
        </w:rPr>
      </w:pPr>
    </w:p>
    <w:p>
      <w:pPr>
        <w:pStyle w:val="7"/>
        <w:jc w:val="left"/>
        <w:rPr>
          <w:rFonts w:hint="eastAsia" w:ascii="幼圆" w:hAnsi="华文楷体" w:eastAsia="幼圆"/>
        </w:rPr>
      </w:pPr>
      <w:r>
        <w:rPr>
          <w:rFonts w:hint="eastAsia" w:ascii="幼圆" w:hAnsi="华文楷体" w:eastAsia="幼圆"/>
          <w:lang w:val="en-US" w:eastAsia="zh-CN"/>
        </w:rPr>
        <w:t xml:space="preserve">      </w:t>
      </w:r>
      <w:bookmarkStart w:id="59" w:name="_Toc28997"/>
      <w:bookmarkStart w:id="60" w:name="_Toc21608"/>
      <w:bookmarkStart w:id="61" w:name="_Toc1121"/>
      <w:bookmarkStart w:id="62" w:name="_Toc1339"/>
      <w:bookmarkStart w:id="63" w:name="_Toc31714"/>
      <w:bookmarkStart w:id="64" w:name="_Toc12116_WPSOffice_Level1"/>
      <w:bookmarkStart w:id="65" w:name="_Toc19647_WPSOffice_Level1"/>
      <w:bookmarkStart w:id="66" w:name="_Toc5989_WPSOffice_Level1"/>
      <w:r>
        <w:rPr>
          <w:rFonts w:hint="eastAsia" w:ascii="幼圆" w:hAnsi="华文楷体" w:eastAsia="幼圆"/>
        </w:rPr>
        <w:t>报价编号：</w:t>
      </w:r>
      <w:r>
        <w:rPr>
          <w:rFonts w:hint="eastAsia" w:ascii="幼圆" w:hAnsi="华文楷体" w:eastAsia="幼圆"/>
          <w:lang w:val="en-US" w:eastAsia="zh-CN"/>
        </w:rPr>
        <w:t>DY</w:t>
      </w:r>
      <w:r>
        <w:rPr>
          <w:rFonts w:hint="eastAsia" w:ascii="幼圆" w:hAnsi="华文楷体" w:eastAsia="幼圆"/>
        </w:rPr>
        <w:t>201</w:t>
      </w:r>
      <w:r>
        <w:rPr>
          <w:rFonts w:hint="eastAsia" w:ascii="幼圆" w:hAnsi="华文楷体" w:eastAsia="幼圆"/>
          <w:lang w:val="en-US" w:eastAsia="zh-CN"/>
        </w:rPr>
        <w:t>70</w:t>
      </w:r>
      <w:bookmarkEnd w:id="59"/>
      <w:r>
        <w:rPr>
          <w:rFonts w:hint="eastAsia" w:ascii="幼圆" w:hAnsi="华文楷体" w:eastAsia="幼圆"/>
          <w:lang w:val="en-US" w:eastAsia="zh-CN"/>
        </w:rPr>
        <w:t>8</w:t>
      </w:r>
      <w:bookmarkEnd w:id="60"/>
      <w:bookmarkEnd w:id="61"/>
      <w:bookmarkEnd w:id="62"/>
      <w:bookmarkEnd w:id="63"/>
      <w:r>
        <w:rPr>
          <w:rFonts w:hint="eastAsia" w:ascii="幼圆" w:hAnsi="华文楷体" w:eastAsia="幼圆"/>
          <w:lang w:val="en-US" w:eastAsia="zh-CN"/>
        </w:rPr>
        <w:t>69</w:t>
      </w:r>
      <w:bookmarkEnd w:id="64"/>
      <w:bookmarkEnd w:id="65"/>
      <w:bookmarkEnd w:id="66"/>
    </w:p>
    <w:p>
      <w:pPr>
        <w:jc w:val="left"/>
        <w:rPr>
          <w:rFonts w:hint="eastAsia" w:ascii="幼圆" w:hAnsi="华文楷体" w:eastAsia="幼圆"/>
        </w:rPr>
      </w:pPr>
    </w:p>
    <w:p>
      <w:pPr>
        <w:pStyle w:val="7"/>
        <w:jc w:val="left"/>
        <w:rPr>
          <w:rFonts w:hint="eastAsia" w:ascii="幼圆" w:hAnsi="华文楷体" w:eastAsia="幼圆"/>
        </w:rPr>
      </w:pPr>
      <w:r>
        <w:rPr>
          <w:rFonts w:hint="eastAsia" w:ascii="幼圆" w:hAnsi="华文楷体" w:eastAsia="幼圆"/>
          <w:lang w:val="en-US" w:eastAsia="zh-CN"/>
        </w:rPr>
        <w:t xml:space="preserve">      </w:t>
      </w:r>
      <w:bookmarkStart w:id="67" w:name="_Toc12826"/>
      <w:bookmarkStart w:id="68" w:name="_Toc15578"/>
      <w:bookmarkStart w:id="69" w:name="_Toc24729"/>
      <w:bookmarkStart w:id="70" w:name="_Toc23382"/>
      <w:bookmarkStart w:id="71" w:name="_Toc11811"/>
      <w:bookmarkStart w:id="72" w:name="_Toc17944_WPSOffice_Level1"/>
      <w:bookmarkStart w:id="73" w:name="_Toc23785_WPSOffice_Level1"/>
      <w:bookmarkStart w:id="74" w:name="_Toc13126_WPSOffice_Level1"/>
      <w:r>
        <w:rPr>
          <w:rFonts w:hint="eastAsia" w:ascii="幼圆" w:hAnsi="华文楷体" w:eastAsia="幼圆"/>
        </w:rPr>
        <w:t>日    期：201</w:t>
      </w:r>
      <w:r>
        <w:rPr>
          <w:rFonts w:hint="eastAsia" w:ascii="幼圆" w:hAnsi="华文楷体" w:eastAsia="幼圆"/>
          <w:lang w:val="en-US" w:eastAsia="zh-CN"/>
        </w:rPr>
        <w:t>7-11-</w:t>
      </w:r>
      <w:bookmarkEnd w:id="67"/>
      <w:bookmarkEnd w:id="68"/>
      <w:bookmarkEnd w:id="69"/>
      <w:bookmarkEnd w:id="70"/>
      <w:bookmarkEnd w:id="71"/>
      <w:r>
        <w:rPr>
          <w:rFonts w:hint="eastAsia" w:ascii="幼圆" w:hAnsi="华文楷体" w:eastAsia="幼圆"/>
          <w:lang w:val="en-US" w:eastAsia="zh-CN"/>
        </w:rPr>
        <w:t>29</w:t>
      </w:r>
      <w:bookmarkEnd w:id="72"/>
      <w:bookmarkEnd w:id="73"/>
      <w:bookmarkEnd w:id="74"/>
    </w:p>
    <w:p>
      <w:pPr>
        <w:spacing w:after="156" w:afterLines="50"/>
        <w:jc w:val="center"/>
        <w:rPr>
          <w:rFonts w:hint="eastAsia" w:ascii="幼圆" w:eastAsia="幼圆"/>
          <w:bCs/>
          <w:sz w:val="36"/>
          <w:szCs w:val="36"/>
        </w:rPr>
      </w:pPr>
    </w:p>
    <w:p>
      <w:pPr>
        <w:spacing w:after="156" w:afterLines="50"/>
        <w:jc w:val="center"/>
        <w:rPr>
          <w:rFonts w:hint="eastAsia" w:ascii="幼圆" w:eastAsia="幼圆"/>
          <w:bCs/>
          <w:sz w:val="36"/>
          <w:szCs w:val="36"/>
        </w:rPr>
      </w:pPr>
    </w:p>
    <w:p>
      <w:pPr>
        <w:spacing w:after="156" w:afterLines="50"/>
        <w:jc w:val="center"/>
        <w:rPr>
          <w:rFonts w:hint="eastAsia" w:ascii="幼圆" w:eastAsia="幼圆"/>
          <w:bCs/>
          <w:sz w:val="36"/>
          <w:szCs w:val="36"/>
        </w:rPr>
      </w:pPr>
    </w:p>
    <w:p>
      <w:pPr>
        <w:spacing w:after="156" w:afterLines="50"/>
        <w:jc w:val="center"/>
        <w:rPr>
          <w:rFonts w:hint="eastAsia" w:ascii="幼圆" w:eastAsia="幼圆"/>
          <w:bCs/>
          <w:sz w:val="36"/>
          <w:szCs w:val="36"/>
        </w:rPr>
      </w:pPr>
    </w:p>
    <w:p>
      <w:pPr>
        <w:spacing w:after="156" w:afterLines="50"/>
        <w:jc w:val="center"/>
        <w:rPr>
          <w:rFonts w:hint="eastAsia" w:ascii="幼圆" w:eastAsia="幼圆"/>
          <w:bCs/>
          <w:sz w:val="36"/>
          <w:szCs w:val="36"/>
        </w:rPr>
      </w:pPr>
    </w:p>
    <w:p>
      <w:pPr>
        <w:spacing w:after="156" w:afterLines="50"/>
        <w:rPr>
          <w:rFonts w:hint="eastAsia" w:ascii="幼圆" w:eastAsia="幼圆"/>
          <w:b/>
          <w:bCs/>
          <w:sz w:val="36"/>
          <w:szCs w:val="36"/>
          <w:lang w:eastAsia="zh-CN"/>
        </w:rPr>
      </w:pPr>
    </w:p>
    <w:p>
      <w:pPr>
        <w:spacing w:after="156" w:afterLines="50"/>
        <w:rPr>
          <w:rFonts w:hint="eastAsia" w:ascii="幼圆" w:eastAsia="幼圆"/>
          <w:b/>
          <w:bCs/>
          <w:sz w:val="36"/>
          <w:szCs w:val="36"/>
        </w:rPr>
      </w:pPr>
      <w:bookmarkStart w:id="75" w:name="_Toc2870_WPSOffice_Level1"/>
      <w:bookmarkStart w:id="76" w:name="_Toc12804_WPSOffice_Level1"/>
      <w:bookmarkStart w:id="77" w:name="_Toc28800_WPSOffice_Level1"/>
      <w:r>
        <w:rPr>
          <w:rFonts w:hint="eastAsia" w:ascii="幼圆" w:eastAsia="幼圆"/>
          <w:b/>
          <w:bCs/>
          <w:sz w:val="36"/>
          <w:szCs w:val="36"/>
          <w:lang w:eastAsia="zh-CN"/>
        </w:rPr>
        <w:t>绍兴顶研环保设备</w:t>
      </w:r>
      <w:r>
        <w:rPr>
          <w:rFonts w:hint="eastAsia" w:ascii="幼圆" w:eastAsia="幼圆"/>
          <w:b/>
          <w:bCs/>
          <w:sz w:val="36"/>
          <w:szCs w:val="36"/>
        </w:rPr>
        <w:t>有限公司</w:t>
      </w:r>
      <w:bookmarkEnd w:id="75"/>
      <w:bookmarkEnd w:id="76"/>
      <w:bookmarkEnd w:id="77"/>
    </w:p>
    <w:p>
      <w:pPr>
        <w:spacing w:line="360" w:lineRule="auto"/>
        <w:rPr>
          <w:rFonts w:hint="eastAsia"/>
          <w:b w:val="0"/>
          <w:bCs/>
          <w:sz w:val="24"/>
          <w:u w:val="single"/>
        </w:rPr>
      </w:pPr>
      <w:r>
        <w:rPr>
          <w:rFonts w:hint="eastAsia" w:ascii="仿宋" w:hAnsi="仿宋"/>
          <w:b w:val="0"/>
          <w:bCs/>
          <w:sz w:val="21"/>
          <w:szCs w:val="21"/>
          <w:u w:val="single"/>
          <w:lang w:val="en-US" w:eastAsia="zh-CN"/>
        </w:rPr>
        <w:t>ShaoXing</w:t>
      </w:r>
      <w:r>
        <w:rPr>
          <w:rFonts w:hint="eastAsia" w:ascii="仿宋" w:hAnsi="仿宋"/>
          <w:b w:val="0"/>
          <w:bCs/>
          <w:sz w:val="21"/>
          <w:szCs w:val="21"/>
          <w:u w:val="single"/>
        </w:rPr>
        <w:t xml:space="preserve"> Dingyan </w:t>
      </w:r>
      <w:r>
        <w:rPr>
          <w:rFonts w:ascii="仿宋" w:hAnsi="仿宋"/>
          <w:b w:val="0"/>
          <w:bCs/>
          <w:sz w:val="21"/>
          <w:szCs w:val="21"/>
          <w:u w:val="single"/>
        </w:rPr>
        <w:t xml:space="preserve">Environmental </w:t>
      </w:r>
      <w:r>
        <w:rPr>
          <w:rFonts w:hint="eastAsia" w:ascii="仿宋" w:hAnsi="仿宋"/>
          <w:b w:val="0"/>
          <w:bCs/>
          <w:sz w:val="21"/>
          <w:szCs w:val="21"/>
          <w:u w:val="single"/>
        </w:rPr>
        <w:t xml:space="preserve">Protection </w:t>
      </w:r>
      <w:r>
        <w:rPr>
          <w:rFonts w:hint="eastAsia" w:ascii="仿宋" w:hAnsi="仿宋"/>
          <w:b w:val="0"/>
          <w:bCs/>
          <w:sz w:val="21"/>
          <w:szCs w:val="21"/>
          <w:u w:val="single"/>
          <w:lang w:val="en-US" w:eastAsia="zh-CN"/>
        </w:rPr>
        <w:t>E</w:t>
      </w:r>
      <w:r>
        <w:rPr>
          <w:rFonts w:hint="eastAsia" w:ascii="仿宋" w:hAnsi="仿宋"/>
          <w:b w:val="0"/>
          <w:bCs/>
          <w:sz w:val="21"/>
          <w:szCs w:val="21"/>
          <w:u w:val="single"/>
        </w:rPr>
        <w:t>quipment</w:t>
      </w:r>
      <w:r>
        <w:rPr>
          <w:rFonts w:ascii="仿宋" w:hAnsi="仿宋"/>
          <w:b w:val="0"/>
          <w:bCs/>
          <w:sz w:val="21"/>
          <w:szCs w:val="21"/>
          <w:u w:val="single"/>
        </w:rPr>
        <w:t xml:space="preserve"> Co</w:t>
      </w:r>
      <w:r>
        <w:rPr>
          <w:rFonts w:hint="eastAsia" w:ascii="仿宋" w:hAnsi="仿宋"/>
          <w:b w:val="0"/>
          <w:bCs/>
          <w:sz w:val="21"/>
          <w:szCs w:val="21"/>
          <w:u w:val="single"/>
        </w:rPr>
        <w:t>.,</w:t>
      </w:r>
      <w:r>
        <w:rPr>
          <w:rFonts w:ascii="仿宋" w:hAnsi="仿宋"/>
          <w:b w:val="0"/>
          <w:bCs/>
          <w:sz w:val="21"/>
          <w:szCs w:val="21"/>
          <w:u w:val="single"/>
        </w:rPr>
        <w:t>Ltd</w:t>
      </w:r>
      <w:r>
        <w:rPr>
          <w:rFonts w:hint="eastAsia" w:ascii="仿宋" w:hAnsi="仿宋"/>
          <w:b w:val="0"/>
          <w:bCs/>
          <w:sz w:val="21"/>
          <w:szCs w:val="21"/>
          <w:u w:val="single"/>
        </w:rPr>
        <w:t>.</w:t>
      </w:r>
    </w:p>
    <w:p>
      <w:pPr>
        <w:spacing w:line="360" w:lineRule="auto"/>
        <w:rPr>
          <w:rFonts w:hint="eastAsia"/>
          <w:sz w:val="24"/>
        </w:rPr>
      </w:pPr>
      <w:bookmarkStart w:id="78" w:name="_Toc27857"/>
      <w:r>
        <w:rPr>
          <w:rFonts w:hint="eastAsia"/>
          <w:sz w:val="24"/>
        </w:rPr>
        <w:t>浙江省绍兴市上虞区崧厦镇</w:t>
      </w:r>
    </w:p>
    <w:p>
      <w:pPr>
        <w:spacing w:line="360" w:lineRule="auto"/>
        <w:rPr>
          <w:rFonts w:hint="eastAsia"/>
          <w:sz w:val="24"/>
        </w:rPr>
      </w:pPr>
      <w:r>
        <w:rPr>
          <w:rFonts w:hint="eastAsia"/>
          <w:sz w:val="24"/>
        </w:rPr>
        <w:t xml:space="preserve">TEL:  13858451673 </w:t>
      </w:r>
    </w:p>
    <w:p>
      <w:pPr>
        <w:pStyle w:val="6"/>
        <w:tabs>
          <w:tab w:val="right" w:leader="dot" w:pos="8306"/>
        </w:tabs>
        <w:rPr>
          <w:rFonts w:hint="eastAsia" w:ascii="仿宋_GB2312" w:hAnsi="仿宋_GB2312" w:eastAsia="仿宋_GB2312" w:cs="仿宋_GB2312"/>
          <w:kern w:val="2"/>
          <w:sz w:val="32"/>
          <w:szCs w:val="32"/>
          <w:lang w:val="en-US" w:eastAsia="zh-CN" w:bidi="ar-SA"/>
        </w:rPr>
      </w:pPr>
      <w:r>
        <w:rPr>
          <w:rFonts w:hint="eastAsia"/>
          <w:sz w:val="24"/>
        </w:rPr>
        <w:t>FAX:  0575-82893931</w:t>
      </w:r>
    </w:p>
    <w:p>
      <w:pPr>
        <w:rPr>
          <w:rFonts w:hint="eastAsia"/>
          <w:lang w:eastAsia="zh-CN"/>
        </w:rPr>
      </w:pPr>
      <w:bookmarkStart w:id="79" w:name="_Toc12542"/>
    </w:p>
    <w:p>
      <w:pPr>
        <w:pStyle w:val="2"/>
        <w:pageBreakBefore w:val="0"/>
        <w:widowControl w:val="0"/>
        <w:kinsoku/>
        <w:wordWrap/>
        <w:overflowPunct/>
        <w:topLinePunct w:val="0"/>
        <w:autoSpaceDE/>
        <w:autoSpaceDN/>
        <w:bidi w:val="0"/>
        <w:adjustRightInd/>
        <w:snapToGrid/>
        <w:spacing w:before="0" w:after="0" w:line="360" w:lineRule="auto"/>
        <w:ind w:right="0" w:rightChars="0" w:firstLine="0" w:firstLineChars="0"/>
        <w:jc w:val="both"/>
        <w:textAlignment w:val="auto"/>
        <w:rPr>
          <w:rFonts w:hint="eastAsia" w:ascii="仿宋_GB2312" w:hAnsi="仿宋_GB2312" w:eastAsia="仿宋_GB2312" w:cs="仿宋_GB2312"/>
          <w:b w:val="0"/>
          <w:bCs w:val="0"/>
          <w:sz w:val="24"/>
          <w:szCs w:val="24"/>
          <w:lang w:eastAsia="zh-CN"/>
        </w:rPr>
        <w:sectPr>
          <w:headerReference r:id="rId4" w:type="default"/>
          <w:footerReference r:id="rId5" w:type="default"/>
          <w:pgSz w:w="11906" w:h="16838"/>
          <w:pgMar w:top="1440" w:right="1800" w:bottom="1440" w:left="1800" w:header="851" w:footer="992" w:gutter="0"/>
          <w:pgNumType w:fmt="decimal"/>
          <w:cols w:space="425" w:num="1"/>
          <w:docGrid w:type="lines" w:linePitch="312" w:charSpace="0"/>
        </w:sectPr>
      </w:pPr>
    </w:p>
    <w:p>
      <w:pPr>
        <w:rPr>
          <w:rFonts w:hint="eastAsia"/>
          <w:lang w:eastAsia="zh-CN"/>
        </w:rPr>
      </w:pPr>
    </w:p>
    <w:p>
      <w:pPr>
        <w:pStyle w:val="2"/>
        <w:rPr>
          <w:rFonts w:hint="eastAsia"/>
        </w:rPr>
      </w:pPr>
      <w:bookmarkStart w:id="80" w:name="_Toc12221"/>
      <w:bookmarkStart w:id="81" w:name="_Toc16830"/>
      <w:bookmarkStart w:id="82" w:name="_Toc24336_WPSOffice_Level1"/>
      <w:bookmarkStart w:id="83" w:name="_Toc32602_WPSOffice_Level1"/>
      <w:bookmarkStart w:id="84" w:name="_Toc20911_WPSOffice_Level1"/>
      <w:bookmarkStart w:id="85" w:name="_Toc22477"/>
      <w:r>
        <w:rPr>
          <w:rFonts w:hint="eastAsia"/>
        </w:rPr>
        <w:t xml:space="preserve">第一章 </w:t>
      </w:r>
      <w:r>
        <w:rPr>
          <w:rFonts w:hint="eastAsia"/>
          <w:lang w:eastAsia="zh-CN"/>
        </w:rPr>
        <w:t>公司简介</w:t>
      </w:r>
      <w:bookmarkEnd w:id="80"/>
      <w:bookmarkEnd w:id="81"/>
      <w:bookmarkEnd w:id="82"/>
      <w:bookmarkEnd w:id="83"/>
      <w:bookmarkEnd w:id="84"/>
    </w:p>
    <w:p>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绍兴顶研环保设备有限公司是一家专注于解决工厂环境污染问题的环保型成长企业，集环保规划、环保产品研究、设计、制造、安装服务一体化的环保型企业。关联企业有杭州顶研环保科技有限公司，杭州顶研环保科技有限公司定位于环保工程技术设计，有专业的技术团队为总公司绍兴顶研环保设备有限公司提供技术支持。</w:t>
      </w:r>
    </w:p>
    <w:p>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公司遵循“以质量求信誉，以服务求满意，以速度求效益，以管理求发展”的企业经营理念，依靠科学的管理和先进的治理技术，不断吸收新技术，先后与煤科集团杭州环保研究院有限公司、各高校研究相关领域的科学骨干等有合作关系和技术服务支持。凭借良好的信誉、扎实的技术和周到的服务，以及全新学习型的团队，公司的各方面的专业服务必将越来越到位。</w:t>
      </w:r>
    </w:p>
    <w:p>
      <w:pPr>
        <w:pStyle w:val="2"/>
        <w:jc w:val="cente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lang w:eastAsia="zh-CN"/>
        </w:rPr>
      </w:pPr>
      <w:bookmarkStart w:id="86" w:name="_Toc10061"/>
      <w:bookmarkStart w:id="87" w:name="_Toc18956"/>
      <w:bookmarkStart w:id="88" w:name="_Toc31635_WPSOffice_Level1"/>
      <w:bookmarkStart w:id="89" w:name="_Toc22806_WPSOffice_Level1"/>
      <w:bookmarkStart w:id="90" w:name="_Toc16701_WPSOffice_Level1"/>
      <w:r>
        <w:rPr>
          <w:rFonts w:hint="eastAsia"/>
          <w:lang w:eastAsia="zh-CN"/>
        </w:rPr>
        <w:t>第二章</w:t>
      </w:r>
      <w:r>
        <w:rPr>
          <w:rFonts w:hint="eastAsia"/>
          <w:lang w:val="en-US" w:eastAsia="zh-CN"/>
        </w:rPr>
        <w:t xml:space="preserve"> </w:t>
      </w:r>
      <w:r>
        <w:rPr>
          <w:rFonts w:hint="eastAsia"/>
          <w:lang w:eastAsia="zh-CN"/>
        </w:rPr>
        <w:t>工程概况</w:t>
      </w:r>
      <w:bookmarkEnd w:id="78"/>
      <w:bookmarkEnd w:id="79"/>
      <w:bookmarkEnd w:id="85"/>
      <w:bookmarkEnd w:id="86"/>
      <w:bookmarkEnd w:id="87"/>
      <w:bookmarkEnd w:id="88"/>
      <w:bookmarkEnd w:id="89"/>
      <w:bookmarkEnd w:id="90"/>
    </w:p>
    <w:p>
      <w:pPr>
        <w:pStyle w:val="3"/>
        <w:rPr>
          <w:rFonts w:hint="eastAsia" w:ascii="仿宋" w:hAnsi="仿宋" w:eastAsia="仿宋" w:cs="仿宋"/>
          <w:sz w:val="24"/>
          <w:lang w:eastAsia="zh-CN"/>
        </w:rPr>
      </w:pPr>
      <w:bookmarkStart w:id="91" w:name="_Toc24412"/>
      <w:bookmarkStart w:id="92" w:name="_Toc3695"/>
      <w:bookmarkStart w:id="93" w:name="_Toc29562"/>
      <w:bookmarkStart w:id="94" w:name="_Toc23709"/>
      <w:bookmarkStart w:id="95" w:name="_Toc14014"/>
      <w:bookmarkStart w:id="96" w:name="_Toc8427"/>
      <w:bookmarkStart w:id="97" w:name="_Toc9534"/>
      <w:r>
        <w:rPr>
          <w:rFonts w:hint="eastAsia"/>
          <w:lang w:val="en-US" w:eastAsia="zh-CN"/>
        </w:rPr>
        <w:t>2</w:t>
      </w:r>
      <w:r>
        <w:rPr>
          <w:rFonts w:hint="eastAsia"/>
        </w:rPr>
        <w:t>.1 企业情况概述</w:t>
      </w:r>
      <w:bookmarkEnd w:id="91"/>
      <w:bookmarkEnd w:id="92"/>
      <w:bookmarkEnd w:id="93"/>
      <w:bookmarkEnd w:id="94"/>
      <w:bookmarkEnd w:id="95"/>
      <w:bookmarkEnd w:id="96"/>
      <w:bookmarkEnd w:id="97"/>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浙江汉达机械有限公司是专注于液压及机械设备行业的制造厂家，目前主要设计制造多轴钻床、液压产品。其公司所生产的液压产品，包括液压缸、液压阀、液压系统，广泛应用于各机械行业。加工设备齐全，包括高精度数控珩磨机、自动焊接机、数控车床、高精密磨床、加工中心等，产品质量稳定</w:t>
      </w:r>
    </w:p>
    <w:p>
      <w:pPr>
        <w:pStyle w:val="3"/>
        <w:rPr>
          <w:rFonts w:hint="eastAsia"/>
          <w:lang w:val="en-US" w:eastAsia="zh-CN"/>
        </w:rPr>
      </w:pPr>
      <w:bookmarkStart w:id="98" w:name="_Toc731"/>
      <w:bookmarkStart w:id="99" w:name="_Toc16123"/>
      <w:r>
        <w:rPr>
          <w:rFonts w:hint="eastAsia"/>
          <w:lang w:val="en-US" w:eastAsia="zh-CN"/>
        </w:rPr>
        <w:t>2.2 企业环保现状</w:t>
      </w:r>
      <w:bookmarkEnd w:id="98"/>
      <w:bookmarkEnd w:id="99"/>
    </w:p>
    <w:p>
      <w:pPr>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val="en-US" w:eastAsia="zh-CN"/>
        </w:rPr>
        <w:t>国家环保要求越来越严，标准越来越高，对企业的污染也是零容忍态度。贵公司有一个喷漆</w:t>
      </w:r>
      <w:r>
        <w:rPr>
          <w:rFonts w:hint="eastAsia" w:ascii="仿宋" w:hAnsi="仿宋" w:eastAsia="仿宋" w:cs="仿宋"/>
          <w:sz w:val="24"/>
          <w:lang w:eastAsia="zh-CN"/>
        </w:rPr>
        <w:t>车间，</w:t>
      </w:r>
      <w:r>
        <w:rPr>
          <w:rFonts w:hint="eastAsia" w:ascii="仿宋" w:hAnsi="仿宋" w:eastAsia="仿宋" w:cs="仿宋"/>
          <w:sz w:val="24"/>
          <w:lang w:val="en-US" w:eastAsia="zh-CN"/>
        </w:rPr>
        <w:t>喷漆台等，生产过程中有喷漆</w:t>
      </w:r>
      <w:r>
        <w:rPr>
          <w:rFonts w:hint="eastAsia" w:ascii="仿宋" w:hAnsi="仿宋" w:eastAsia="仿宋" w:cs="仿宋"/>
          <w:sz w:val="24"/>
          <w:lang w:eastAsia="zh-CN"/>
        </w:rPr>
        <w:t>废气的产生，收集的废气未有相应的废气环保治理措施，未经处理直接排放。因此，改善车间环境，以及减少大气排放污染是企业的责任，环保净化治理改造势在必行。</w:t>
      </w:r>
    </w:p>
    <w:p>
      <w:pPr>
        <w:pStyle w:val="2"/>
        <w:rPr>
          <w:rFonts w:hint="eastAsia" w:ascii="仿宋_GB2312" w:hAnsi="仿宋_GB2312" w:eastAsia="仿宋_GB2312" w:cs="仿宋_GB2312"/>
          <w:lang w:eastAsia="zh-CN"/>
        </w:rPr>
      </w:pPr>
      <w:bookmarkStart w:id="100" w:name="_Toc6132"/>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lang w:eastAsia="zh-CN"/>
        </w:rPr>
      </w:pPr>
      <w:bookmarkStart w:id="101" w:name="_Toc23381"/>
      <w:bookmarkStart w:id="102" w:name="_Toc31151"/>
      <w:bookmarkStart w:id="103" w:name="_Toc10698"/>
      <w:bookmarkStart w:id="104" w:name="_Toc12985"/>
      <w:bookmarkStart w:id="105" w:name="_Toc6341_WPSOffice_Level1"/>
      <w:bookmarkStart w:id="106" w:name="_Toc20379_WPSOffice_Level1"/>
      <w:bookmarkStart w:id="107" w:name="_Toc24621_WPSOffice_Level1"/>
      <w:r>
        <w:rPr>
          <w:rFonts w:hint="eastAsia"/>
          <w:lang w:eastAsia="zh-CN"/>
        </w:rPr>
        <w:t>第三章</w:t>
      </w:r>
      <w:r>
        <w:rPr>
          <w:rFonts w:hint="eastAsia"/>
          <w:lang w:val="en-US" w:eastAsia="zh-CN"/>
        </w:rPr>
        <w:t xml:space="preserve"> </w:t>
      </w:r>
      <w:r>
        <w:rPr>
          <w:rFonts w:hint="eastAsia"/>
          <w:lang w:eastAsia="zh-CN"/>
        </w:rPr>
        <w:t>设计</w:t>
      </w:r>
      <w:bookmarkEnd w:id="100"/>
      <w:bookmarkEnd w:id="101"/>
      <w:bookmarkEnd w:id="102"/>
      <w:bookmarkEnd w:id="103"/>
      <w:bookmarkEnd w:id="104"/>
      <w:r>
        <w:rPr>
          <w:rFonts w:hint="eastAsia"/>
          <w:lang w:eastAsia="zh-CN"/>
        </w:rPr>
        <w:t>要求</w:t>
      </w:r>
      <w:bookmarkEnd w:id="105"/>
      <w:bookmarkEnd w:id="106"/>
      <w:bookmarkEnd w:id="107"/>
    </w:p>
    <w:p>
      <w:pPr>
        <w:pStyle w:val="3"/>
        <w:rPr>
          <w:rFonts w:hint="eastAsia" w:ascii="仿宋" w:hAnsi="仿宋" w:eastAsia="仿宋" w:cs="仿宋"/>
          <w:b/>
          <w:bCs/>
          <w:kern w:val="2"/>
          <w:sz w:val="24"/>
          <w:szCs w:val="24"/>
          <w:lang w:val="en-US" w:eastAsia="zh-CN" w:bidi="ar-SA"/>
        </w:rPr>
      </w:pPr>
      <w:bookmarkStart w:id="108" w:name="_Toc23163"/>
      <w:bookmarkStart w:id="109" w:name="_Toc15224"/>
      <w:bookmarkStart w:id="110" w:name="_Toc25663"/>
      <w:bookmarkStart w:id="111" w:name="_Toc19429"/>
      <w:bookmarkStart w:id="112" w:name="_Toc3027"/>
      <w:r>
        <w:rPr>
          <w:rFonts w:hint="eastAsia" w:ascii="仿宋" w:hAnsi="仿宋" w:cs="仿宋"/>
          <w:b/>
          <w:bCs/>
          <w:kern w:val="2"/>
          <w:sz w:val="24"/>
          <w:szCs w:val="24"/>
          <w:lang w:val="en-US" w:eastAsia="zh-CN" w:bidi="ar-SA"/>
        </w:rPr>
        <w:t>3</w:t>
      </w:r>
      <w:r>
        <w:rPr>
          <w:rFonts w:hint="eastAsia" w:ascii="仿宋" w:hAnsi="仿宋" w:eastAsia="仿宋" w:cs="仿宋"/>
          <w:b/>
          <w:bCs/>
          <w:kern w:val="2"/>
          <w:sz w:val="24"/>
          <w:szCs w:val="24"/>
          <w:lang w:val="en-US" w:eastAsia="zh-CN" w:bidi="ar-SA"/>
        </w:rPr>
        <w:t>.1</w:t>
      </w:r>
      <w:r>
        <w:rPr>
          <w:rFonts w:hint="eastAsia" w:ascii="仿宋" w:hAnsi="仿宋" w:cs="仿宋"/>
          <w:b/>
          <w:bCs/>
          <w:kern w:val="2"/>
          <w:sz w:val="24"/>
          <w:szCs w:val="24"/>
          <w:lang w:val="en-US" w:eastAsia="zh-CN" w:bidi="ar-SA"/>
        </w:rPr>
        <w:t xml:space="preserve"> </w:t>
      </w:r>
      <w:r>
        <w:rPr>
          <w:rFonts w:hint="eastAsia" w:ascii="仿宋" w:hAnsi="仿宋" w:eastAsia="仿宋" w:cs="仿宋"/>
          <w:b/>
          <w:bCs/>
          <w:kern w:val="2"/>
          <w:sz w:val="24"/>
          <w:szCs w:val="24"/>
          <w:lang w:val="en-US" w:eastAsia="zh-CN" w:bidi="ar-SA"/>
        </w:rPr>
        <w:t>设计依据</w:t>
      </w:r>
      <w:bookmarkEnd w:id="108"/>
      <w:bookmarkEnd w:id="109"/>
      <w:bookmarkEnd w:id="110"/>
      <w:bookmarkEnd w:id="111"/>
      <w:bookmarkEnd w:id="112"/>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1、《中华人民共和国环境保护法》</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2、《中华人民共和国大气污染防治法》</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3、《大气污染物综合排放控制标准》（DB31/933-2015）；</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4、《三废处理工程技术手册·废气卷》</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5、《环境保护产品技术要求-工业废气吸附净化装置》(HJT 386-2007)</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6、《环境空气质量标准》（GB3095-1996）；</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7、《工厂企业厂界噪声标准及其测量方法》(GB12348～12349-1990)；</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8、《工作场所有害因素职业接触限值》(GBZ2.1-2007)；</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9、《工业企业设计卫生标准》(GBZ1-2010)；</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10、《建设项目环境保护条例》中华人民共和国国务院令第253号 1998；</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11、《电气装置安装工程施工及验收规范》(GB50168-2006)；</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12、《低压配电设计规范》(GB50054-2011)；</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13、《电力装置的继电保护和自动控制设计规范》(GBT50062-2008)；</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14、《电力工程电缆设计规范》(GB50217-2007)；</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15、《仪表配管、配线设计规定》( HG/T20512-2000)；</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16、《工业企业噪声控制设计规范》(GBT50087-2013)；</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17、《环境工程设计手册·废气污染控制卷》</w:t>
      </w:r>
    </w:p>
    <w:p>
      <w:pPr>
        <w:pStyle w:val="3"/>
        <w:rPr>
          <w:rFonts w:hint="eastAsia" w:ascii="仿宋" w:hAnsi="仿宋" w:eastAsia="仿宋" w:cs="仿宋"/>
          <w:b/>
          <w:bCs/>
          <w:kern w:val="2"/>
          <w:sz w:val="24"/>
          <w:szCs w:val="24"/>
          <w:lang w:val="en-US" w:eastAsia="zh-CN" w:bidi="ar-SA"/>
        </w:rPr>
      </w:pPr>
      <w:bookmarkStart w:id="113" w:name="_Toc27450"/>
      <w:bookmarkStart w:id="114" w:name="_Toc15771"/>
      <w:bookmarkStart w:id="115" w:name="_Toc15865"/>
      <w:bookmarkStart w:id="116" w:name="_Toc9260"/>
      <w:bookmarkStart w:id="117" w:name="_Toc31355"/>
      <w:bookmarkStart w:id="118" w:name="_Toc1527"/>
      <w:bookmarkStart w:id="119" w:name="_Toc460419192"/>
      <w:r>
        <w:rPr>
          <w:rFonts w:hint="eastAsia" w:ascii="仿宋" w:hAnsi="仿宋" w:cs="仿宋"/>
          <w:b/>
          <w:bCs/>
          <w:kern w:val="2"/>
          <w:sz w:val="24"/>
          <w:szCs w:val="24"/>
          <w:lang w:val="en-US" w:eastAsia="zh-CN" w:bidi="ar-SA"/>
        </w:rPr>
        <w:t>3</w:t>
      </w:r>
      <w:r>
        <w:rPr>
          <w:rFonts w:hint="eastAsia" w:ascii="仿宋" w:hAnsi="仿宋" w:eastAsia="仿宋" w:cs="仿宋"/>
          <w:b/>
          <w:bCs/>
          <w:kern w:val="2"/>
          <w:sz w:val="24"/>
          <w:szCs w:val="24"/>
          <w:lang w:val="en-US" w:eastAsia="zh-CN" w:bidi="ar-SA"/>
        </w:rPr>
        <w:t>.2</w:t>
      </w:r>
      <w:r>
        <w:rPr>
          <w:rFonts w:hint="eastAsia" w:ascii="仿宋" w:hAnsi="仿宋" w:cs="仿宋"/>
          <w:b/>
          <w:bCs/>
          <w:kern w:val="2"/>
          <w:sz w:val="24"/>
          <w:szCs w:val="24"/>
          <w:lang w:val="en-US" w:eastAsia="zh-CN" w:bidi="ar-SA"/>
        </w:rPr>
        <w:t xml:space="preserve"> </w:t>
      </w:r>
      <w:r>
        <w:rPr>
          <w:rFonts w:hint="eastAsia" w:ascii="仿宋" w:hAnsi="仿宋" w:eastAsia="仿宋" w:cs="仿宋"/>
          <w:b/>
          <w:bCs/>
          <w:kern w:val="2"/>
          <w:sz w:val="24"/>
          <w:szCs w:val="24"/>
          <w:lang w:val="en-US" w:eastAsia="zh-CN" w:bidi="ar-SA"/>
        </w:rPr>
        <w:t>设计原则</w:t>
      </w:r>
      <w:bookmarkEnd w:id="113"/>
      <w:bookmarkEnd w:id="114"/>
      <w:bookmarkEnd w:id="115"/>
      <w:bookmarkEnd w:id="116"/>
      <w:bookmarkEnd w:id="117"/>
      <w:bookmarkEnd w:id="118"/>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1、依据国家的有关环保法律、法规及产业政策要求对工业污染进行治理，充分发挥建设项目的社会效益、环境效益和经济效益。</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积极稳妥地采用高新技术、高品质设备，结合企业的现状和管理水平采用先进、可靠的改造技术和污染治理工艺处理技术，力求运行稳定、费用低、管理方便、维护容易，从而达到治理污染、保护环境的目的。</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3、妥善解决项目建设及运行过程中产生的污染物，避免二次污染。</w:t>
      </w:r>
    </w:p>
    <w:p>
      <w:pPr>
        <w:spacing w:line="360" w:lineRule="auto"/>
        <w:ind w:firstLine="480" w:firstLineChars="200"/>
        <w:rPr>
          <w:rFonts w:hint="eastAsia" w:ascii="仿宋" w:hAnsi="仿宋" w:eastAsia="仿宋" w:cs="仿宋"/>
          <w:b w:val="0"/>
          <w:bCs w:val="0"/>
          <w:kern w:val="2"/>
          <w:sz w:val="24"/>
          <w:szCs w:val="24"/>
          <w:lang w:val="en-US" w:eastAsia="zh-CN" w:bidi="ar-SA"/>
        </w:rPr>
      </w:pPr>
      <w:bookmarkStart w:id="120" w:name="_Toc30995"/>
      <w:bookmarkStart w:id="121" w:name="_Toc11058"/>
      <w:r>
        <w:rPr>
          <w:rFonts w:hint="eastAsia" w:ascii="仿宋" w:hAnsi="仿宋" w:eastAsia="仿宋" w:cs="仿宋"/>
          <w:b w:val="0"/>
          <w:bCs w:val="0"/>
          <w:kern w:val="2"/>
          <w:sz w:val="24"/>
          <w:szCs w:val="24"/>
          <w:lang w:val="en-US" w:eastAsia="zh-CN" w:bidi="ar-SA"/>
        </w:rPr>
        <w:t>4、严格执行现行的防火、安全、卫生、环境保护等国家和地方颁布的规范、法规和标准。</w:t>
      </w:r>
      <w:bookmarkEnd w:id="119"/>
      <w:bookmarkEnd w:id="120"/>
      <w:bookmarkEnd w:id="121"/>
    </w:p>
    <w:p>
      <w:pPr>
        <w:spacing w:line="360" w:lineRule="auto"/>
        <w:rPr>
          <w:rFonts w:hint="eastAsia" w:ascii="仿宋" w:hAnsi="仿宋" w:eastAsia="仿宋" w:cs="仿宋"/>
          <w:b w:val="0"/>
          <w:bCs w:val="0"/>
          <w:kern w:val="2"/>
          <w:sz w:val="24"/>
          <w:szCs w:val="24"/>
          <w:lang w:val="en-US" w:eastAsia="zh-CN" w:bidi="ar-SA"/>
        </w:rPr>
      </w:pPr>
      <w:r>
        <w:rPr>
          <w:rFonts w:hint="eastAsia" w:ascii="仿宋" w:hAnsi="仿宋" w:eastAsia="仿宋" w:cs="仿宋"/>
          <w:b/>
          <w:bCs/>
          <w:kern w:val="2"/>
          <w:sz w:val="24"/>
          <w:szCs w:val="24"/>
          <w:lang w:val="en-US" w:eastAsia="zh-CN" w:bidi="ar-SA"/>
        </w:rPr>
        <w:t>3.3 治理目标</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1、废气收集率≥90%。</w:t>
      </w:r>
    </w:p>
    <w:p>
      <w:pPr>
        <w:numPr>
          <w:ilvl w:val="0"/>
          <w:numId w:val="2"/>
        </w:num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废气处理效率≥90%。</w:t>
      </w:r>
    </w:p>
    <w:p>
      <w:pPr>
        <w:numPr>
          <w:ilvl w:val="0"/>
          <w:numId w:val="2"/>
        </w:num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废气净化后排放达国家排放标准要求。</w:t>
      </w: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widowControl w:val="0"/>
        <w:numPr>
          <w:ilvl w:val="0"/>
          <w:numId w:val="0"/>
        </w:numPr>
        <w:spacing w:line="360" w:lineRule="auto"/>
        <w:jc w:val="both"/>
        <w:rPr>
          <w:rFonts w:hint="eastAsia" w:ascii="仿宋" w:hAnsi="仿宋" w:eastAsia="仿宋" w:cs="仿宋"/>
          <w:b w:val="0"/>
          <w:bCs w:val="0"/>
          <w:kern w:val="2"/>
          <w:sz w:val="24"/>
          <w:szCs w:val="24"/>
          <w:lang w:val="en-US" w:eastAsia="zh-CN" w:bidi="ar-SA"/>
        </w:rPr>
      </w:pPr>
    </w:p>
    <w:p>
      <w:pPr>
        <w:pStyle w:val="2"/>
        <w:rPr>
          <w:rFonts w:hint="eastAsia"/>
          <w:lang w:val="en-US" w:eastAsia="zh-CN"/>
        </w:rPr>
      </w:pPr>
      <w:bookmarkStart w:id="122" w:name="_Toc28197"/>
      <w:bookmarkStart w:id="123" w:name="_Toc8153"/>
      <w:bookmarkStart w:id="124" w:name="_Toc5073"/>
      <w:bookmarkStart w:id="125" w:name="_Toc14231"/>
      <w:bookmarkStart w:id="126" w:name="_Toc13069"/>
      <w:bookmarkStart w:id="127" w:name="_Toc30767_WPSOffice_Level1"/>
      <w:bookmarkStart w:id="128" w:name="_Toc17941_WPSOffice_Level1"/>
      <w:bookmarkStart w:id="129" w:name="_Toc1473_WPSOffice_Level1"/>
      <w:r>
        <w:rPr>
          <w:rFonts w:hint="eastAsia"/>
          <w:lang w:val="en-US" w:eastAsia="zh-CN"/>
        </w:rPr>
        <w:t xml:space="preserve">第四章 </w:t>
      </w:r>
      <w:bookmarkEnd w:id="122"/>
      <w:r>
        <w:rPr>
          <w:rFonts w:hint="eastAsia"/>
          <w:lang w:val="en-US" w:eastAsia="zh-CN"/>
        </w:rPr>
        <w:t>工艺选择</w:t>
      </w:r>
      <w:bookmarkEnd w:id="123"/>
      <w:bookmarkEnd w:id="124"/>
      <w:bookmarkEnd w:id="125"/>
      <w:bookmarkEnd w:id="126"/>
      <w:bookmarkEnd w:id="127"/>
      <w:bookmarkEnd w:id="128"/>
      <w:bookmarkEnd w:id="129"/>
    </w:p>
    <w:p>
      <w:pPr>
        <w:pStyle w:val="3"/>
        <w:rPr>
          <w:rFonts w:hint="eastAsia"/>
        </w:rPr>
      </w:pPr>
      <w:bookmarkStart w:id="130" w:name="_Toc21801"/>
      <w:bookmarkStart w:id="131" w:name="_Toc21406"/>
      <w:bookmarkStart w:id="132" w:name="_Toc17979"/>
      <w:bookmarkStart w:id="133" w:name="_Toc13911"/>
      <w:bookmarkStart w:id="134" w:name="_Toc3512"/>
      <w:bookmarkStart w:id="135" w:name="_Toc29859"/>
      <w:bookmarkStart w:id="136" w:name="_Toc32362"/>
      <w:bookmarkStart w:id="137" w:name="_Toc5032"/>
      <w:bookmarkStart w:id="138" w:name="_Toc444959480"/>
      <w:bookmarkStart w:id="139" w:name="_Toc26948"/>
      <w:bookmarkStart w:id="140" w:name="_Toc11159"/>
      <w:bookmarkStart w:id="141" w:name="_Toc18549"/>
      <w:bookmarkStart w:id="142" w:name="_Toc24050"/>
      <w:r>
        <w:rPr>
          <w:rFonts w:hint="eastAsia"/>
        </w:rPr>
        <w:t>4.1 工艺</w:t>
      </w:r>
      <w:bookmarkEnd w:id="130"/>
      <w:r>
        <w:rPr>
          <w:rFonts w:hint="eastAsia"/>
        </w:rPr>
        <w:t>选择原则</w:t>
      </w:r>
      <w:bookmarkEnd w:id="131"/>
      <w:bookmarkEnd w:id="132"/>
      <w:bookmarkEnd w:id="133"/>
      <w:bookmarkEnd w:id="134"/>
      <w:bookmarkEnd w:id="135"/>
      <w:bookmarkEnd w:id="136"/>
      <w:bookmarkEnd w:id="137"/>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1、适用性</w:t>
      </w:r>
      <w:bookmarkEnd w:id="138"/>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该项目采用的技术应该与业主的需处理废气规模、需要去除的废气污染物，地区特点以及管理水平相适应。</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2、可靠性</w:t>
      </w:r>
    </w:p>
    <w:p>
      <w:pPr>
        <w:spacing w:line="360" w:lineRule="auto"/>
        <w:ind w:firstLine="435"/>
        <w:rPr>
          <w:rFonts w:hint="eastAsia" w:ascii="仿宋" w:hAnsi="仿宋" w:eastAsia="仿宋" w:cs="仿宋"/>
          <w:sz w:val="24"/>
        </w:rPr>
      </w:pPr>
      <w:r>
        <w:rPr>
          <w:rFonts w:hint="eastAsia" w:ascii="仿宋" w:hAnsi="仿宋" w:eastAsia="仿宋" w:cs="仿宋"/>
          <w:sz w:val="24"/>
        </w:rPr>
        <w:t>该废气处理工艺成熟可靠，设备结构简单，无易损部件且运行稳定。</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3、经济性</w:t>
      </w:r>
    </w:p>
    <w:p>
      <w:pPr>
        <w:spacing w:line="360" w:lineRule="auto"/>
        <w:ind w:firstLine="435"/>
        <w:rPr>
          <w:rFonts w:hint="eastAsia" w:ascii="仿宋" w:hAnsi="仿宋" w:eastAsia="仿宋" w:cs="仿宋"/>
          <w:sz w:val="24"/>
        </w:rPr>
      </w:pPr>
      <w:r>
        <w:rPr>
          <w:rFonts w:hint="eastAsia" w:ascii="仿宋" w:hAnsi="仿宋" w:eastAsia="仿宋" w:cs="仿宋"/>
          <w:sz w:val="24"/>
        </w:rPr>
        <w:t>本工艺设备操作简单，一般员工经过简单讲解后，可马上熟练操作整套设备，其运行费用相对较低。</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4、易操作性</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主要设备是低温等离子</w:t>
      </w:r>
      <w:r>
        <w:rPr>
          <w:rFonts w:hint="eastAsia" w:ascii="仿宋" w:hAnsi="仿宋" w:eastAsia="仿宋" w:cs="仿宋"/>
          <w:sz w:val="24"/>
          <w:lang w:eastAsia="zh-CN"/>
        </w:rPr>
        <w:t>净化器</w:t>
      </w:r>
      <w:r>
        <w:rPr>
          <w:rFonts w:hint="eastAsia" w:ascii="仿宋" w:hAnsi="仿宋" w:eastAsia="仿宋" w:cs="仿宋"/>
          <w:sz w:val="24"/>
        </w:rPr>
        <w:t>、活性炭</w:t>
      </w:r>
      <w:r>
        <w:rPr>
          <w:rFonts w:hint="eastAsia" w:ascii="仿宋" w:hAnsi="仿宋" w:eastAsia="仿宋" w:cs="仿宋"/>
          <w:sz w:val="24"/>
          <w:lang w:eastAsia="zh-CN"/>
        </w:rPr>
        <w:t>净化器</w:t>
      </w:r>
      <w:r>
        <w:rPr>
          <w:rFonts w:hint="eastAsia" w:ascii="仿宋" w:hAnsi="仿宋" w:eastAsia="仿宋" w:cs="仿宋"/>
          <w:sz w:val="24"/>
        </w:rPr>
        <w:t>等，工人易懂易操作运行。</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5、环保达标</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达到国家及地方环保排放标准。</w:t>
      </w:r>
    </w:p>
    <w:p>
      <w:pPr>
        <w:pStyle w:val="3"/>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4.2 工艺选择</w:t>
      </w:r>
      <w:bookmarkEnd w:id="139"/>
      <w:bookmarkEnd w:id="140"/>
      <w:r>
        <w:rPr>
          <w:rFonts w:hint="eastAsia" w:ascii="仿宋" w:hAnsi="仿宋" w:cs="仿宋"/>
          <w:b/>
          <w:bCs/>
          <w:kern w:val="2"/>
          <w:sz w:val="24"/>
          <w:szCs w:val="24"/>
          <w:lang w:val="en-US" w:eastAsia="zh-CN" w:bidi="ar-SA"/>
        </w:rPr>
        <w:t>及确定</w:t>
      </w:r>
      <w:bookmarkEnd w:id="141"/>
      <w:bookmarkEnd w:id="142"/>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结合贵公司具体情况，本工艺考虑到业主不能产生废水，活性炭脱附吸附催化燃烧工艺相对成本太高，故理想的处理方法采用干式方法来处理废气。</w:t>
      </w:r>
    </w:p>
    <w:p>
      <w:pPr>
        <w:spacing w:line="360" w:lineRule="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pict>
          <v:shape id="流程图: 可选过程 13" o:spid="_x0000_s1026" o:spt="176" type="#_x0000_t176" style="position:absolute;left:0pt;margin-left:292.95pt;margin-top:30.6pt;height:21.75pt;width:79.5pt;z-index:251658240;mso-width-relative:page;mso-height-relative:page;" filled="f" stroked="t" coordsize="21600,21600" o:gfxdata="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Qqjt3bAAAACQEAAA8AAAAAAAAAAQAg&#10;AAAAIgAAAGRycy9kb3ducmV2LnhtbFBLAQIUABQAAAAIAIdO4kA/faOuCwIAAN0DAAAOAAAAAAAA&#10;AAEAIAAAACoBAABkcnMvZTJvRG9jLnhtbFBLBQYAAAAABgAGAFkBAACnBQAAAAA=&#10;" adj="2700">
            <v:path/>
            <v:fill on="f" focussize="0,0"/>
            <v:stroke weight="1.25pt" color="#739CC3" joinstyle="miter"/>
            <v:imagedata o:title=""/>
            <o:lock v:ext="edit" aspectratio="f"/>
          </v:shape>
        </w:pict>
      </w:r>
      <w:r>
        <w:rPr>
          <w:rFonts w:hint="eastAsia" w:ascii="仿宋" w:hAnsi="仿宋" w:eastAsia="仿宋" w:cs="仿宋"/>
          <w:b/>
          <w:bCs/>
          <w:kern w:val="2"/>
          <w:sz w:val="24"/>
          <w:szCs w:val="24"/>
          <w:lang w:val="en-US" w:eastAsia="zh-CN" w:bidi="ar-SA"/>
        </w:rPr>
        <w:t>（1）工艺流程示意图：</w:t>
      </w:r>
    </w:p>
    <w:p>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pict>
          <v:shape id="_x0000_s1027" o:spid="_x0000_s1027" o:spt="176" type="#_x0000_t176" style="position:absolute;left:0pt;margin-left:171.55pt;margin-top:0.45pt;height:21.75pt;width:98.95pt;z-index:251661312;mso-width-relative:page;mso-height-relative:page;" filled="f" stroked="t" coordsize="21600,21600" o:gfxdata="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IKxr2gAAAAkBAAAPAAAAAAAAAAEA&#10;IAAAACIAAABkcnMvZG93bnJldi54bWxQSwECFAAUAAAACACHTuJAXw/PfQ0CAADdAwAADgAAAAAA&#10;AAABACAAAAApAQAAZHJzL2Uyb0RvYy54bWxQSwUGAAAAAAYABgBZAQAAqAUAAAAA&#10;" adj="2700">
            <v:path/>
            <v:fill on="f" focussize="0,0"/>
            <v:stroke weight="1.25pt" color="#739CC3" joinstyle="miter"/>
            <v:imagedata o:title=""/>
            <o:lock v:ext="edit" aspectratio="f"/>
          </v:shape>
        </w:pict>
      </w:r>
      <w:r>
        <w:rPr>
          <w:rFonts w:hint="eastAsia" w:ascii="仿宋_GB2312" w:hAnsi="仿宋_GB2312" w:eastAsia="仿宋_GB2312" w:cs="仿宋_GB2312"/>
          <w:sz w:val="24"/>
          <w:szCs w:val="24"/>
          <w:lang w:val="en-US" w:eastAsia="zh-CN"/>
        </w:rPr>
        <w:pict>
          <v:shape id="_x0000_s1028" o:spid="_x0000_s1028" o:spt="176" type="#_x0000_t176" style="position:absolute;left:0pt;margin-left:81.4pt;margin-top:0.9pt;height:22.45pt;width:68.15pt;z-index:251660288;mso-width-relative:page;mso-height-relative:page;" filled="f" stroked="t" coordsize="21600,21600" o:gfxdata="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dmn9doAAAAIAQAADwAAAAAAAAABACAA&#10;AAAiAAAAZHJzL2Rvd25yZXYueG1sUEsBAhQAFAAAAAgAh07iQKZnnAoLAgAA3AMAAA4AAAAAAAAA&#10;AQAgAAAAKQEAAGRycy9lMm9Eb2MueG1sUEsFBgAAAAAGAAYAWQEAAKYFAAAAAA==&#10;" adj="2700">
            <v:path/>
            <v:fill on="f" focussize="0,0"/>
            <v:stroke weight="1.25pt" color="#739CC3" joinstyle="miter"/>
            <v:imagedata o:title=""/>
            <o:lock v:ext="edit" aspectratio="f"/>
          </v:shape>
        </w:pict>
      </w:r>
      <w:r>
        <w:rPr>
          <w:rFonts w:hint="eastAsia" w:ascii="仿宋_GB2312" w:hAnsi="仿宋_GB2312" w:eastAsia="仿宋_GB2312" w:cs="仿宋_GB2312"/>
          <w:sz w:val="24"/>
          <w:szCs w:val="24"/>
          <w:lang w:val="en-US" w:eastAsia="zh-CN"/>
        </w:rPr>
        <w:pict>
          <v:shape id="_x0000_s1029" o:spid="_x0000_s1029" o:spt="176" type="#_x0000_t176" style="position:absolute;left:0pt;margin-left:-3.2pt;margin-top:0.2pt;height:23.25pt;width:66pt;z-index:251659264;mso-width-relative:page;mso-height-relative:page;" filled="f" stroked="t" coordsize="21600,21600" o:gfxdata="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eW+HE2QAAAAcBAAAPAAAAAAAAAAEAIAAA&#10;ACIAAABkcnMvZG93bnJldi54bWxQSwECFAAUAAAACACHTuJAN+5TTQsCAADcAwAADgAAAAAAAAAB&#10;ACAAAAAoAQAAZHJzL2Uyb0RvYy54bWxQSwUGAAAAAAYABgBZAQAApQUAAAAA&#10;" adj="2700">
            <v:path/>
            <v:fill on="f" focussize="0,0"/>
            <v:stroke weight="1.25pt" color="#739CC3" joinstyle="miter"/>
            <v:imagedata o:title=""/>
            <o:lock v:ext="edit" aspectratio="f"/>
          </v:shape>
        </w:pict>
      </w:r>
      <w:r>
        <w:rPr>
          <w:rFonts w:hint="eastAsia" w:ascii="仿宋_GB2312" w:hAnsi="仿宋_GB2312" w:eastAsia="仿宋_GB2312" w:cs="仿宋_GB2312"/>
          <w:sz w:val="24"/>
          <w:szCs w:val="24"/>
          <w:lang w:val="en-US" w:eastAsia="zh-CN"/>
        </w:rPr>
        <w:t>喷漆等废气 → 粗效过滤器  → 低温等离子净化器 →  活性炭净化器</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pict>
          <v:shape id="_x0000_s1030" o:spid="_x0000_s1030" o:spt="176" type="#_x0000_t176" style="position:absolute;left:0pt;margin-left:275.05pt;margin-top:0.05pt;height:21.75pt;width:119.95pt;z-index:251662336;mso-width-relative:page;mso-height-relative:page;" filled="f" stroked="t" coordsize="21600,21600" o:gfxdata="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JtNx9oAAAAJAQAADwAAAAAAAAABACAA&#10;AAAiAAAAZHJzL2Rvd25yZXYueG1sUEsBAhQAFAAAAAgAh07iQFcYTVYLAgAA3QMAAA4AAAAAAAAA&#10;AQAgAAAAKQEAAGRycy9lMm9Eb2MueG1sUEsFBgAAAAAGAAYAWQEAAKYFAAAAAA==&#10;">
            <v:path/>
            <v:fill on="f" focussize="0,0"/>
            <v:stroke weight="1.25pt" color="#739CC3" joinstyle="miter"/>
            <v:imagedata o:title=""/>
            <o:lock v:ext="edit" aspectratio="f"/>
          </v:shape>
        </w:pict>
      </w:r>
      <w:r>
        <w:rPr>
          <w:rFonts w:hint="eastAsia" w:ascii="仿宋_GB2312" w:hAnsi="仿宋_GB2312" w:eastAsia="仿宋_GB2312" w:cs="仿宋_GB2312"/>
          <w:sz w:val="24"/>
          <w:szCs w:val="24"/>
          <w:lang w:val="en-US" w:eastAsia="zh-CN"/>
        </w:rPr>
        <w:t xml:space="preserve">                                           达标后15米高空排放    </w:t>
      </w:r>
    </w:p>
    <w:p>
      <w:pPr>
        <w:spacing w:line="360" w:lineRule="auto"/>
        <w:rPr>
          <w:rFonts w:hint="eastAsia" w:ascii="仿宋_GB2312" w:hAnsi="仿宋_GB2312" w:eastAsia="仿宋_GB2312" w:cs="仿宋_GB2312"/>
          <w:b/>
          <w:bCs w:val="0"/>
          <w:kern w:val="44"/>
          <w:sz w:val="28"/>
          <w:szCs w:val="28"/>
          <w:lang w:val="en-US" w:eastAsia="zh-CN" w:bidi="ar-SA"/>
        </w:rPr>
      </w:pPr>
      <w:r>
        <w:rPr>
          <w:rFonts w:hint="eastAsia" w:ascii="仿宋" w:hAnsi="仿宋" w:eastAsia="仿宋" w:cs="仿宋"/>
          <w:b/>
          <w:bCs/>
          <w:kern w:val="2"/>
          <w:sz w:val="24"/>
          <w:szCs w:val="24"/>
          <w:lang w:val="en-US" w:eastAsia="zh-CN" w:bidi="ar-SA"/>
        </w:rPr>
        <w:t xml:space="preserve">  </w:t>
      </w:r>
      <w:r>
        <w:rPr>
          <w:rFonts w:hint="eastAsia" w:ascii="仿宋_GB2312" w:hAnsi="仿宋_GB2312" w:eastAsia="仿宋_GB2312" w:cs="仿宋_GB2312"/>
          <w:b/>
          <w:bCs w:val="0"/>
          <w:kern w:val="44"/>
          <w:sz w:val="28"/>
          <w:szCs w:val="28"/>
          <w:lang w:val="en-US" w:eastAsia="zh-CN" w:bidi="ar-SA"/>
        </w:rPr>
        <w:t xml:space="preserve"> </w:t>
      </w:r>
    </w:p>
    <w:p>
      <w:pPr>
        <w:keepNext w:val="0"/>
        <w:keepLines w:val="0"/>
        <w:widowControl/>
        <w:suppressLineNumbers w:val="0"/>
        <w:jc w:val="left"/>
      </w:pPr>
      <w:bookmarkStart w:id="143" w:name="_Toc21320"/>
    </w:p>
    <w:p>
      <w:pPr>
        <w:spacing w:line="360" w:lineRule="auto"/>
        <w:rPr>
          <w:rFonts w:hint="eastAsia" w:ascii="仿宋" w:hAnsi="仿宋" w:eastAsia="仿宋" w:cs="仿宋"/>
          <w:b/>
          <w:bCs/>
          <w:kern w:val="2"/>
          <w:sz w:val="24"/>
          <w:szCs w:val="24"/>
          <w:lang w:val="en-US" w:eastAsia="zh-CN" w:bidi="ar-SA"/>
        </w:rPr>
      </w:pPr>
      <w:bookmarkStart w:id="144" w:name="_Toc28226"/>
      <w:bookmarkStart w:id="145" w:name="_Toc969"/>
      <w:r>
        <w:rPr>
          <w:rFonts w:hint="eastAsia" w:ascii="仿宋" w:hAnsi="仿宋" w:eastAsia="仿宋" w:cs="仿宋"/>
          <w:b/>
          <w:bCs/>
          <w:kern w:val="2"/>
          <w:sz w:val="24"/>
          <w:szCs w:val="24"/>
          <w:lang w:val="en-US" w:eastAsia="zh-CN" w:bidi="ar-SA"/>
        </w:rPr>
        <w:t>（2）</w:t>
      </w:r>
      <w:bookmarkEnd w:id="144"/>
      <w:r>
        <w:rPr>
          <w:rFonts w:hint="eastAsia" w:ascii="仿宋" w:hAnsi="仿宋" w:eastAsia="仿宋" w:cs="仿宋"/>
          <w:b/>
          <w:bCs/>
          <w:kern w:val="2"/>
          <w:sz w:val="24"/>
          <w:szCs w:val="24"/>
          <w:lang w:val="en-US" w:eastAsia="zh-CN" w:bidi="ar-SA"/>
        </w:rPr>
        <w:t>风量设计</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废气源有：喷漆房、喷漆台、烘箱等源头产生，其相应工作时间不是长时间的，是间隔分开工作，总风量的确定：30000m3/h，阀门控制各管道，来确保车间的换气次数以及相应废气顺利排出。</w:t>
      </w:r>
    </w:p>
    <w:p>
      <w:pPr>
        <w:spacing w:line="360" w:lineRule="auto"/>
        <w:rPr>
          <w:rFonts w:hint="eastAsia" w:ascii="仿宋" w:hAnsi="仿宋" w:eastAsia="仿宋" w:cs="仿宋"/>
          <w:b w:val="0"/>
          <w:bCs w:val="0"/>
          <w:kern w:val="2"/>
          <w:sz w:val="24"/>
          <w:szCs w:val="24"/>
          <w:lang w:val="en-US" w:eastAsia="zh-CN" w:bidi="ar-SA"/>
        </w:rPr>
      </w:pPr>
      <w:r>
        <w:rPr>
          <w:rFonts w:hint="eastAsia" w:ascii="仿宋" w:hAnsi="仿宋" w:eastAsia="仿宋" w:cs="仿宋"/>
          <w:b/>
          <w:bCs/>
          <w:kern w:val="2"/>
          <w:sz w:val="24"/>
          <w:szCs w:val="24"/>
          <w:lang w:val="en-US" w:eastAsia="zh-CN" w:bidi="ar-SA"/>
        </w:rPr>
        <w:t>（3）设备优势及注意点</w:t>
      </w:r>
    </w:p>
    <w:bookmarkEnd w:id="145"/>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本套工艺无外部运转设备、不产生有毒有害物质，运行平稳无噪音。注意低温等离子设备定期需要清理维护，活性炭净化器中活性炭定期更换，定期保养很重要。</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我司参与净化设备生产、安装、调试及售后维护，一条龙服务。</w:t>
      </w:r>
    </w:p>
    <w:bookmarkEnd w:id="143"/>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pStyle w:val="2"/>
        <w:rPr>
          <w:rFonts w:hint="eastAsia"/>
          <w:lang w:val="en-US" w:eastAsia="zh-CN"/>
        </w:rPr>
      </w:pPr>
      <w:bookmarkStart w:id="146" w:name="_Toc25042"/>
      <w:bookmarkStart w:id="147" w:name="_Toc23907"/>
      <w:bookmarkStart w:id="148" w:name="_Toc13403"/>
      <w:bookmarkStart w:id="149" w:name="_Toc12993"/>
      <w:bookmarkStart w:id="150" w:name="_Toc18269_WPSOffice_Level1"/>
      <w:bookmarkStart w:id="151" w:name="_Toc25849_WPSOffice_Level1"/>
      <w:bookmarkStart w:id="152" w:name="_Toc27718_WPSOffice_Level1"/>
      <w:r>
        <w:rPr>
          <w:rFonts w:hint="eastAsia"/>
          <w:lang w:val="en-US" w:eastAsia="zh-CN"/>
        </w:rPr>
        <w:t>第五章 废气治理介绍</w:t>
      </w:r>
      <w:bookmarkEnd w:id="146"/>
      <w:bookmarkEnd w:id="147"/>
      <w:bookmarkEnd w:id="148"/>
      <w:bookmarkEnd w:id="149"/>
      <w:bookmarkEnd w:id="150"/>
      <w:bookmarkEnd w:id="151"/>
      <w:bookmarkEnd w:id="152"/>
    </w:p>
    <w:p>
      <w:pPr>
        <w:pStyle w:val="3"/>
        <w:rPr>
          <w:rFonts w:hint="eastAsia" w:ascii="仿宋" w:hAnsi="仿宋" w:eastAsia="仿宋" w:cs="仿宋"/>
          <w:b/>
          <w:bCs/>
          <w:kern w:val="2"/>
          <w:sz w:val="24"/>
          <w:szCs w:val="24"/>
          <w:lang w:val="en-US" w:eastAsia="zh-CN" w:bidi="ar-SA"/>
        </w:rPr>
      </w:pPr>
      <w:bookmarkStart w:id="153" w:name="_Toc31973"/>
      <w:bookmarkStart w:id="154" w:name="_Toc18077"/>
      <w:bookmarkStart w:id="155" w:name="_Toc13581"/>
      <w:bookmarkStart w:id="156" w:name="_Toc1824"/>
      <w:bookmarkStart w:id="157" w:name="_Toc21956"/>
      <w:bookmarkStart w:id="158" w:name="_Toc28473"/>
      <w:bookmarkStart w:id="159" w:name="_Toc30560"/>
      <w:r>
        <w:rPr>
          <w:rFonts w:hint="eastAsia" w:ascii="仿宋" w:hAnsi="仿宋" w:eastAsia="仿宋" w:cs="仿宋"/>
          <w:b/>
          <w:bCs/>
          <w:kern w:val="2"/>
          <w:sz w:val="24"/>
          <w:szCs w:val="24"/>
          <w:lang w:val="en-US" w:eastAsia="zh-CN" w:bidi="ar-SA"/>
        </w:rPr>
        <w:t xml:space="preserve">5.1 </w:t>
      </w:r>
      <w:bookmarkEnd w:id="153"/>
      <w:bookmarkEnd w:id="154"/>
      <w:r>
        <w:rPr>
          <w:rFonts w:hint="eastAsia" w:ascii="仿宋" w:hAnsi="仿宋" w:eastAsia="仿宋" w:cs="仿宋"/>
          <w:b/>
          <w:bCs/>
          <w:kern w:val="2"/>
          <w:sz w:val="24"/>
          <w:szCs w:val="24"/>
          <w:lang w:val="en-US" w:eastAsia="zh-CN" w:bidi="ar-SA"/>
        </w:rPr>
        <w:t>低温等离子净化器</w:t>
      </w:r>
      <w:bookmarkEnd w:id="155"/>
      <w:bookmarkEnd w:id="156"/>
      <w:bookmarkEnd w:id="157"/>
      <w:bookmarkEnd w:id="158"/>
    </w:p>
    <w:p>
      <w:pPr>
        <w:keepNext w:val="0"/>
        <w:keepLines w:val="0"/>
        <w:pageBreakBefore w:val="0"/>
        <w:kinsoku/>
        <w:wordWrap/>
        <w:overflowPunct/>
        <w:topLinePunct w:val="0"/>
        <w:bidi w:val="0"/>
        <w:adjustRightInd w:val="0"/>
        <w:snapToGrid w:val="0"/>
        <w:spacing w:line="360" w:lineRule="auto"/>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 xml:space="preserve">     等离子是由电子、离子、自由基和中性离子流组成，工作状态呈流星雨状导电性流体，属固态、液态、气态之外第四种物质形态。等离子体发生器整体保持电中性，安全可靠。按激发温度，等离子分为热平衡等离子体、非平衡等离子体和低温等离子体。等离子体是一种聚集态物质，其所拥有的高能粒子同烟雾中的分子碰撞时会发生一系列基元物化反应，并在反应过程中产生多种活性自由基和生态氧，即臭氧分解而产生的原子氧，生态氧能迅速将苯、甲苯、二甲苯、甲醛、丙酮、尿烷、树脂等有机气体氧化分解为低分子无害物质（如H20、CO2）。</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r>
        <w:rPr>
          <w:rFonts w:hint="eastAsia" w:ascii="宋体" w:hAnsi="宋体" w:cs="宋体"/>
          <w:kern w:val="0"/>
          <w:sz w:val="28"/>
          <w:szCs w:val="28"/>
        </w:rPr>
        <w:pict>
          <v:shape id="_x0000_i1026" o:spt="75" type="#_x0000_t75" style="height:158pt;width:414.7pt;" filled="f" stroked="f" coordsize="21600,21600">
            <v:path/>
            <v:fill on="f" focussize="0,0"/>
            <v:stroke on="f"/>
            <v:imagedata r:id="rId19" o:title="等离子净化原理图"/>
            <o:lock v:ext="edit" grouping="f" rotation="f" text="f" aspectratio="t"/>
            <w10:wrap type="none"/>
            <w10:anchorlock/>
          </v:shape>
        </w:pic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pict>
          <v:shape id="_x0000_i1027" o:spt="75" alt="低温等离子" type="#_x0000_t75" style="height:310.25pt;width:414.8pt;" filled="f" o:preferrelative="t" stroked="f" coordsize="21600,21600">
            <v:path/>
            <v:fill on="f" focussize="0,0"/>
            <v:stroke on="f"/>
            <v:imagedata r:id="rId20" o:title="低温等离子"/>
            <o:lock v:ext="edit" aspectratio="t"/>
            <w10:wrap type="none"/>
            <w10:anchorlock/>
          </v:shape>
        </w:pict>
      </w:r>
    </w:p>
    <w:p>
      <w:pPr>
        <w:jc w:val="center"/>
        <w:rPr>
          <w:rFonts w:hint="eastAsia"/>
          <w:b/>
          <w:bCs/>
          <w:lang w:val="en-US" w:eastAsia="zh-CN"/>
        </w:rPr>
      </w:pPr>
      <w:bookmarkStart w:id="160" w:name="_Toc26998"/>
      <w:bookmarkStart w:id="161" w:name="_Toc2493"/>
      <w:r>
        <w:rPr>
          <w:rFonts w:hint="eastAsia"/>
          <w:b/>
          <w:bCs/>
          <w:lang w:val="en-US" w:eastAsia="zh-CN"/>
        </w:rPr>
        <w:t>安装的实例图片</w:t>
      </w:r>
    </w:p>
    <w:p>
      <w:pPr>
        <w:jc w:val="center"/>
        <w:rPr>
          <w:rFonts w:hint="eastAsia"/>
          <w:b/>
          <w:bCs/>
          <w:lang w:val="en-US" w:eastAsia="zh-CN"/>
        </w:rPr>
      </w:pPr>
    </w:p>
    <w:p>
      <w:pPr>
        <w:jc w:val="center"/>
        <w:rPr>
          <w:rFonts w:hint="eastAsia"/>
          <w:b/>
          <w:bCs/>
          <w:lang w:val="en-US" w:eastAsia="zh-CN"/>
        </w:rPr>
      </w:pPr>
    </w:p>
    <w:bookmarkEnd w:id="159"/>
    <w:bookmarkEnd w:id="160"/>
    <w:bookmarkEnd w:id="161"/>
    <w:p>
      <w:pPr>
        <w:snapToGrid w:val="0"/>
        <w:spacing w:line="360" w:lineRule="auto"/>
        <w:jc w:val="center"/>
        <w:rPr>
          <w:rFonts w:hint="eastAsia"/>
          <w:color w:val="auto"/>
          <w:sz w:val="36"/>
          <w:szCs w:val="36"/>
        </w:rPr>
      </w:pPr>
      <w:bookmarkStart w:id="162" w:name="_Toc29731"/>
      <w:bookmarkStart w:id="163" w:name="_Toc15130"/>
      <w:bookmarkStart w:id="164" w:name="_Toc19467"/>
      <w:bookmarkStart w:id="165" w:name="_Toc17014"/>
      <w:r>
        <w:rPr>
          <w:rFonts w:hint="eastAsia"/>
          <w:color w:val="auto"/>
          <w:sz w:val="36"/>
          <w:szCs w:val="36"/>
          <w:lang w:val="en-US" w:eastAsia="zh-CN"/>
        </w:rPr>
        <w:t>30000</w:t>
      </w:r>
      <w:r>
        <w:rPr>
          <w:rFonts w:hint="eastAsia"/>
          <w:color w:val="auto"/>
          <w:sz w:val="36"/>
          <w:szCs w:val="36"/>
        </w:rPr>
        <w:t>m3/h风量</w:t>
      </w:r>
      <w:r>
        <w:rPr>
          <w:rFonts w:hint="eastAsia"/>
          <w:color w:val="auto"/>
          <w:sz w:val="36"/>
          <w:szCs w:val="36"/>
          <w:lang w:eastAsia="zh-CN"/>
        </w:rPr>
        <w:t>等离子</w:t>
      </w:r>
      <w:r>
        <w:rPr>
          <w:rFonts w:hint="eastAsia"/>
          <w:color w:val="auto"/>
          <w:sz w:val="36"/>
          <w:szCs w:val="36"/>
        </w:rPr>
        <w:t>设备参数</w:t>
      </w:r>
    </w:p>
    <w:tbl>
      <w:tblPr>
        <w:tblStyle w:val="12"/>
        <w:tblW w:w="865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71" w:type="dxa"/>
          <w:bottom w:w="0" w:type="dxa"/>
          <w:right w:w="71" w:type="dxa"/>
        </w:tblCellMar>
      </w:tblPr>
      <w:tblGrid>
        <w:gridCol w:w="567"/>
        <w:gridCol w:w="2435"/>
        <w:gridCol w:w="684"/>
        <w:gridCol w:w="1134"/>
        <w:gridCol w:w="807"/>
        <w:gridCol w:w="302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71" w:type="dxa"/>
            <w:bottom w:w="0" w:type="dxa"/>
            <w:right w:w="71" w:type="dxa"/>
          </w:tblCellMar>
        </w:tblPrEx>
        <w:trPr>
          <w:cantSplit/>
          <w:trHeight w:val="454" w:hRule="atLeast"/>
          <w:tblHeader/>
          <w:jc w:val="center"/>
        </w:trPr>
        <w:tc>
          <w:tcPr>
            <w:tcW w:w="3002" w:type="dxa"/>
            <w:gridSpan w:val="2"/>
            <w:vAlign w:val="center"/>
          </w:tcPr>
          <w:p>
            <w:pPr>
              <w:spacing w:line="360" w:lineRule="auto"/>
              <w:ind w:firstLine="720" w:firstLineChars="300"/>
              <w:rPr>
                <w:sz w:val="24"/>
                <w:lang w:val="fr-FR"/>
              </w:rPr>
            </w:pPr>
            <w:r>
              <w:rPr>
                <w:rFonts w:hint="eastAsia"/>
                <w:sz w:val="24"/>
                <w:lang w:val="fr-FR"/>
              </w:rPr>
              <w:t>技术数据表</w:t>
            </w:r>
          </w:p>
        </w:tc>
        <w:tc>
          <w:tcPr>
            <w:tcW w:w="2625" w:type="dxa"/>
            <w:gridSpan w:val="3"/>
            <w:vAlign w:val="center"/>
          </w:tcPr>
          <w:p>
            <w:pPr>
              <w:spacing w:line="360" w:lineRule="auto"/>
              <w:ind w:firstLine="720" w:firstLineChars="300"/>
              <w:rPr>
                <w:sz w:val="24"/>
              </w:rPr>
            </w:pPr>
            <w:r>
              <w:rPr>
                <w:rFonts w:hint="eastAsia"/>
                <w:sz w:val="24"/>
              </w:rPr>
              <w:t>废气处理</w:t>
            </w:r>
          </w:p>
        </w:tc>
        <w:tc>
          <w:tcPr>
            <w:tcW w:w="3024" w:type="dxa"/>
            <w:vAlign w:val="center"/>
          </w:tcPr>
          <w:p>
            <w:pPr>
              <w:spacing w:line="360" w:lineRule="auto"/>
              <w:ind w:firstLine="720" w:firstLineChars="300"/>
              <w:rPr>
                <w:sz w:val="24"/>
              </w:rPr>
            </w:pPr>
            <w:r>
              <w:rPr>
                <w:rFonts w:hint="eastAsia"/>
                <w:sz w:val="24"/>
              </w:rPr>
              <w:t>制造厂</w:t>
            </w:r>
            <w:r>
              <w:rPr>
                <w:sz w:val="24"/>
              </w:rPr>
              <w:t>:</w:t>
            </w:r>
            <w:r>
              <w:rPr>
                <w:rFonts w:hint="eastAsia"/>
                <w:sz w:val="24"/>
                <w:lang w:eastAsia="zh-CN"/>
              </w:rPr>
              <w:t>绍兴顶研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jc w:val="center"/>
              <w:rPr>
                <w:sz w:val="24"/>
              </w:rPr>
            </w:pPr>
            <w:r>
              <w:rPr>
                <w:rFonts w:hint="eastAsia"/>
                <w:sz w:val="24"/>
              </w:rPr>
              <w:t>型号</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sz w:val="24"/>
              </w:rPr>
            </w:pPr>
            <w:r>
              <w:rPr>
                <w:rFonts w:hint="eastAsia"/>
                <w:sz w:val="24"/>
                <w:lang w:val="en-US" w:eastAsia="zh-CN"/>
              </w:rPr>
              <w:t>DY</w:t>
            </w:r>
            <w:r>
              <w:rPr>
                <w:sz w:val="24"/>
              </w:rPr>
              <w:t>-</w:t>
            </w:r>
            <w:r>
              <w:rPr>
                <w:rFonts w:hint="eastAsia"/>
                <w:sz w:val="24"/>
                <w:lang w:val="en-US" w:eastAsia="zh-CN"/>
              </w:rPr>
              <w:t>DLZ</w:t>
            </w:r>
            <w:r>
              <w:rPr>
                <w:sz w:val="24"/>
              </w:rPr>
              <w:t>-</w:t>
            </w:r>
            <w:r>
              <w:rPr>
                <w:rFonts w:hint="eastAsia"/>
                <w:sz w:val="24"/>
                <w:lang w:val="en-US" w:eastAsia="zh-CN"/>
              </w:rPr>
              <w:t>3</w:t>
            </w:r>
            <w:r>
              <w:rPr>
                <w:sz w:val="24"/>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jc w:val="center"/>
              <w:rPr>
                <w:sz w:val="24"/>
              </w:rPr>
            </w:pPr>
            <w:r>
              <w:rPr>
                <w:rFonts w:hint="eastAsia"/>
                <w:sz w:val="24"/>
              </w:rPr>
              <w:t>用途</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sz w:val="24"/>
                <w:lang w:val="fr-FR"/>
              </w:rPr>
            </w:pPr>
            <w:r>
              <w:rPr>
                <w:rFonts w:hint="eastAsia"/>
                <w:sz w:val="24"/>
              </w:rPr>
              <w:t>有机废气处理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960" w:firstLineChars="400"/>
              <w:jc w:val="both"/>
              <w:rPr>
                <w:sz w:val="24"/>
              </w:rPr>
            </w:pPr>
            <w:r>
              <w:rPr>
                <w:rFonts w:hint="eastAsia"/>
                <w:sz w:val="24"/>
              </w:rPr>
              <w:t>布置型式</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sz w:val="24"/>
                <w:lang w:val="fr-FR"/>
              </w:rPr>
            </w:pPr>
            <w:r>
              <w:rPr>
                <w:rFonts w:hint="eastAsia"/>
                <w:sz w:val="24"/>
              </w:rPr>
              <w:t>露天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1200" w:firstLineChars="500"/>
              <w:jc w:val="both"/>
              <w:rPr>
                <w:sz w:val="24"/>
              </w:rPr>
            </w:pPr>
            <w:r>
              <w:rPr>
                <w:rFonts w:hint="eastAsia"/>
                <w:sz w:val="24"/>
              </w:rPr>
              <w:t>数量</w:t>
            </w:r>
          </w:p>
        </w:tc>
        <w:tc>
          <w:tcPr>
            <w:tcW w:w="1134" w:type="dxa"/>
            <w:vAlign w:val="center"/>
          </w:tcPr>
          <w:p>
            <w:pPr>
              <w:spacing w:line="360" w:lineRule="auto"/>
              <w:ind w:firstLine="360" w:firstLineChars="150"/>
              <w:rPr>
                <w:sz w:val="24"/>
              </w:rPr>
            </w:pPr>
            <w:r>
              <w:rPr>
                <w:rFonts w:hint="eastAsia"/>
                <w:sz w:val="24"/>
              </w:rPr>
              <w:t>台</w:t>
            </w:r>
          </w:p>
        </w:tc>
        <w:tc>
          <w:tcPr>
            <w:tcW w:w="3831" w:type="dxa"/>
            <w:gridSpan w:val="2"/>
            <w:vAlign w:val="center"/>
          </w:tcPr>
          <w:p>
            <w:pPr>
              <w:spacing w:line="360" w:lineRule="auto"/>
              <w:ind w:firstLine="720" w:firstLineChars="300"/>
              <w:rPr>
                <w:sz w:val="24"/>
              </w:rPr>
            </w:pPr>
            <w:r>
              <w:rPr>
                <w:sz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960" w:firstLineChars="400"/>
              <w:jc w:val="both"/>
              <w:rPr>
                <w:sz w:val="24"/>
              </w:rPr>
            </w:pPr>
            <w:r>
              <w:rPr>
                <w:rFonts w:hint="eastAsia"/>
                <w:sz w:val="24"/>
              </w:rPr>
              <w:t>进口风量</w:t>
            </w:r>
          </w:p>
        </w:tc>
        <w:tc>
          <w:tcPr>
            <w:tcW w:w="1134" w:type="dxa"/>
            <w:vAlign w:val="center"/>
          </w:tcPr>
          <w:p>
            <w:pPr>
              <w:spacing w:line="360" w:lineRule="auto"/>
              <w:jc w:val="center"/>
              <w:rPr>
                <w:sz w:val="24"/>
              </w:rPr>
            </w:pPr>
            <w:r>
              <w:rPr>
                <w:sz w:val="24"/>
              </w:rPr>
              <w:t>m</w:t>
            </w:r>
            <w:r>
              <w:rPr>
                <w:sz w:val="24"/>
                <w:vertAlign w:val="superscript"/>
              </w:rPr>
              <w:t>3</w:t>
            </w:r>
            <w:r>
              <w:rPr>
                <w:sz w:val="24"/>
              </w:rPr>
              <w:t>/h</w:t>
            </w:r>
          </w:p>
        </w:tc>
        <w:tc>
          <w:tcPr>
            <w:tcW w:w="3831" w:type="dxa"/>
            <w:gridSpan w:val="2"/>
            <w:vAlign w:val="center"/>
          </w:tcPr>
          <w:p>
            <w:pPr>
              <w:spacing w:line="360" w:lineRule="auto"/>
              <w:ind w:firstLine="720" w:firstLineChars="300"/>
              <w:rPr>
                <w:sz w:val="24"/>
              </w:rPr>
            </w:pPr>
            <w:r>
              <w:rPr>
                <w:rFonts w:hint="eastAsia"/>
                <w:sz w:val="24"/>
                <w:lang w:val="en-US" w:eastAsia="zh-CN"/>
              </w:rPr>
              <w:t>3</w:t>
            </w:r>
            <w:r>
              <w:rPr>
                <w:sz w:val="24"/>
              </w:rPr>
              <w:t>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960" w:firstLineChars="400"/>
              <w:jc w:val="both"/>
              <w:rPr>
                <w:sz w:val="24"/>
              </w:rPr>
            </w:pPr>
            <w:r>
              <w:rPr>
                <w:rFonts w:hint="eastAsia"/>
                <w:sz w:val="24"/>
              </w:rPr>
              <w:t>工作温度</w:t>
            </w:r>
          </w:p>
        </w:tc>
        <w:tc>
          <w:tcPr>
            <w:tcW w:w="1134" w:type="dxa"/>
            <w:vAlign w:val="center"/>
          </w:tcPr>
          <w:p>
            <w:pPr>
              <w:spacing w:line="360" w:lineRule="auto"/>
              <w:jc w:val="center"/>
              <w:rPr>
                <w:sz w:val="24"/>
              </w:rPr>
            </w:pPr>
            <w:r>
              <w:rPr>
                <w:rFonts w:hint="eastAsia"/>
                <w:sz w:val="24"/>
              </w:rPr>
              <w:t>℃</w:t>
            </w:r>
          </w:p>
        </w:tc>
        <w:tc>
          <w:tcPr>
            <w:tcW w:w="3831" w:type="dxa"/>
            <w:gridSpan w:val="2"/>
            <w:vAlign w:val="center"/>
          </w:tcPr>
          <w:p>
            <w:pPr>
              <w:spacing w:line="360" w:lineRule="auto"/>
              <w:ind w:firstLine="720" w:firstLineChars="300"/>
              <w:rPr>
                <w:sz w:val="24"/>
              </w:rPr>
            </w:pPr>
            <w:r>
              <w:rPr>
                <w:rFonts w:hint="eastAsia"/>
                <w:sz w:val="24"/>
              </w:rPr>
              <w:t>常温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960" w:firstLineChars="400"/>
              <w:jc w:val="both"/>
              <w:rPr>
                <w:sz w:val="24"/>
              </w:rPr>
            </w:pPr>
            <w:r>
              <w:rPr>
                <w:rFonts w:hint="eastAsia"/>
                <w:sz w:val="24"/>
              </w:rPr>
              <w:t>设备阻力</w:t>
            </w:r>
          </w:p>
        </w:tc>
        <w:tc>
          <w:tcPr>
            <w:tcW w:w="1134" w:type="dxa"/>
            <w:vAlign w:val="center"/>
          </w:tcPr>
          <w:p>
            <w:pPr>
              <w:spacing w:line="360" w:lineRule="auto"/>
              <w:jc w:val="center"/>
              <w:rPr>
                <w:sz w:val="24"/>
              </w:rPr>
            </w:pPr>
            <w:r>
              <w:rPr>
                <w:sz w:val="24"/>
              </w:rPr>
              <w:t>Pa</w:t>
            </w:r>
          </w:p>
        </w:tc>
        <w:tc>
          <w:tcPr>
            <w:tcW w:w="3831" w:type="dxa"/>
            <w:gridSpan w:val="2"/>
            <w:vAlign w:val="center"/>
          </w:tcPr>
          <w:p>
            <w:pPr>
              <w:spacing w:line="360" w:lineRule="auto"/>
              <w:ind w:firstLine="720" w:firstLineChars="300"/>
              <w:rPr>
                <w:sz w:val="24"/>
              </w:rPr>
            </w:pPr>
            <w:r>
              <w:rPr>
                <w:rFonts w:hint="eastAsia"/>
                <w:sz w:val="24"/>
                <w:lang w:val="en-US" w:eastAsia="zh-CN"/>
              </w:rPr>
              <w:t>5</w:t>
            </w:r>
            <w:r>
              <w:rPr>
                <w:sz w:val="24"/>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960" w:firstLineChars="400"/>
              <w:jc w:val="both"/>
              <w:rPr>
                <w:sz w:val="24"/>
              </w:rPr>
            </w:pPr>
            <w:r>
              <w:rPr>
                <w:rFonts w:hint="eastAsia"/>
                <w:sz w:val="24"/>
              </w:rPr>
              <w:t>最大漏风量</w:t>
            </w:r>
          </w:p>
        </w:tc>
        <w:tc>
          <w:tcPr>
            <w:tcW w:w="1134" w:type="dxa"/>
            <w:vAlign w:val="center"/>
          </w:tcPr>
          <w:p>
            <w:pPr>
              <w:spacing w:line="360" w:lineRule="auto"/>
              <w:jc w:val="center"/>
              <w:rPr>
                <w:sz w:val="24"/>
              </w:rPr>
            </w:pPr>
            <w:r>
              <w:rPr>
                <w:rFonts w:hint="eastAsia"/>
                <w:sz w:val="24"/>
              </w:rPr>
              <w:t>％</w:t>
            </w:r>
          </w:p>
        </w:tc>
        <w:tc>
          <w:tcPr>
            <w:tcW w:w="3831" w:type="dxa"/>
            <w:gridSpan w:val="2"/>
            <w:vAlign w:val="center"/>
          </w:tcPr>
          <w:p>
            <w:pPr>
              <w:spacing w:line="360" w:lineRule="auto"/>
              <w:ind w:firstLine="720" w:firstLineChars="300"/>
              <w:rPr>
                <w:sz w:val="24"/>
              </w:rPr>
            </w:pPr>
            <w:r>
              <w:rPr>
                <w:rFonts w:hint="eastAsia"/>
                <w:sz w:val="24"/>
              </w:rPr>
              <w:t>＜</w:t>
            </w:r>
            <w:r>
              <w:rPr>
                <w:sz w:val="24"/>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jc w:val="center"/>
              <w:rPr>
                <w:rFonts w:hint="eastAsia"/>
                <w:sz w:val="24"/>
              </w:rPr>
            </w:pPr>
            <w:r>
              <w:rPr>
                <w:rFonts w:hint="eastAsia" w:ascii="宋体" w:hAnsi="宋体"/>
                <w:sz w:val="24"/>
              </w:rPr>
              <w:t>停留时间</w:t>
            </w:r>
          </w:p>
        </w:tc>
        <w:tc>
          <w:tcPr>
            <w:tcW w:w="1134" w:type="dxa"/>
            <w:vAlign w:val="center"/>
          </w:tcPr>
          <w:p>
            <w:pPr>
              <w:jc w:val="center"/>
              <w:rPr>
                <w:rFonts w:hint="eastAsia"/>
                <w:sz w:val="24"/>
              </w:rPr>
            </w:pPr>
            <w:r>
              <w:rPr>
                <w:rFonts w:hint="eastAsia" w:ascii="宋体"/>
                <w:sz w:val="24"/>
              </w:rPr>
              <w:t>s</w:t>
            </w:r>
          </w:p>
        </w:tc>
        <w:tc>
          <w:tcPr>
            <w:tcW w:w="3831" w:type="dxa"/>
            <w:gridSpan w:val="2"/>
            <w:vAlign w:val="center"/>
          </w:tcPr>
          <w:p>
            <w:pPr>
              <w:ind w:firstLine="720" w:firstLineChars="300"/>
              <w:jc w:val="both"/>
              <w:rPr>
                <w:rFonts w:hint="eastAsia"/>
                <w:sz w:val="24"/>
              </w:rPr>
            </w:pPr>
            <w:r>
              <w:rPr>
                <w:rFonts w:hint="eastAsia" w:ascii="宋体"/>
                <w:sz w:val="24"/>
                <w:lang w:val="en-US" w:eastAsia="zh-CN"/>
              </w:rPr>
              <w:t>1.0-1.5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jc w:val="center"/>
              <w:rPr>
                <w:rFonts w:hint="eastAsia"/>
                <w:sz w:val="24"/>
              </w:rPr>
            </w:pPr>
            <w:r>
              <w:rPr>
                <w:rFonts w:hint="eastAsia" w:ascii="宋体" w:hAnsi="宋体"/>
                <w:sz w:val="24"/>
              </w:rPr>
              <w:t>工作电压</w:t>
            </w:r>
          </w:p>
        </w:tc>
        <w:tc>
          <w:tcPr>
            <w:tcW w:w="1134" w:type="dxa"/>
            <w:vAlign w:val="center"/>
          </w:tcPr>
          <w:p>
            <w:pPr>
              <w:jc w:val="center"/>
              <w:rPr>
                <w:rFonts w:hint="eastAsia"/>
                <w:sz w:val="24"/>
              </w:rPr>
            </w:pPr>
            <w:r>
              <w:rPr>
                <w:rFonts w:ascii="宋体" w:hAnsi="宋体"/>
                <w:sz w:val="24"/>
              </w:rPr>
              <w:t>V</w:t>
            </w:r>
          </w:p>
        </w:tc>
        <w:tc>
          <w:tcPr>
            <w:tcW w:w="3831" w:type="dxa"/>
            <w:gridSpan w:val="2"/>
            <w:vAlign w:val="center"/>
          </w:tcPr>
          <w:p>
            <w:pPr>
              <w:ind w:firstLine="720" w:firstLineChars="300"/>
              <w:jc w:val="both"/>
              <w:rPr>
                <w:rFonts w:hint="eastAsia"/>
                <w:sz w:val="24"/>
              </w:rPr>
            </w:pPr>
            <w:r>
              <w:rPr>
                <w:rFonts w:hint="eastAsia" w:ascii="宋体" w:hAnsi="宋体"/>
                <w:sz w:val="24"/>
              </w:rPr>
              <w:t>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jc w:val="center"/>
              <w:rPr>
                <w:rFonts w:hint="eastAsia" w:ascii="宋体" w:hAnsi="宋体"/>
                <w:sz w:val="24"/>
              </w:rPr>
            </w:pPr>
            <w:r>
              <w:rPr>
                <w:rFonts w:hint="eastAsia" w:ascii="宋体" w:hAnsi="宋体"/>
                <w:sz w:val="24"/>
              </w:rPr>
              <w:t>内部结构</w:t>
            </w:r>
          </w:p>
        </w:tc>
        <w:tc>
          <w:tcPr>
            <w:tcW w:w="1134" w:type="dxa"/>
            <w:vAlign w:val="center"/>
          </w:tcPr>
          <w:p>
            <w:pPr>
              <w:jc w:val="center"/>
              <w:rPr>
                <w:rFonts w:ascii="宋体" w:hAnsi="宋体"/>
                <w:sz w:val="24"/>
              </w:rPr>
            </w:pPr>
          </w:p>
        </w:tc>
        <w:tc>
          <w:tcPr>
            <w:tcW w:w="3831" w:type="dxa"/>
            <w:gridSpan w:val="2"/>
            <w:vAlign w:val="center"/>
          </w:tcPr>
          <w:p>
            <w:pPr>
              <w:ind w:firstLine="720" w:firstLineChars="300"/>
              <w:jc w:val="both"/>
              <w:rPr>
                <w:rFonts w:hint="eastAsia" w:ascii="宋体" w:hAnsi="宋体"/>
                <w:sz w:val="24"/>
              </w:rPr>
            </w:pPr>
            <w:r>
              <w:rPr>
                <w:rFonts w:hint="eastAsia" w:ascii="宋体" w:hAnsi="宋体"/>
                <w:sz w:val="24"/>
                <w:lang w:eastAsia="zh-CN"/>
              </w:rPr>
              <w:t>圆筒</w:t>
            </w:r>
            <w:r>
              <w:rPr>
                <w:rFonts w:hint="eastAsia" w:ascii="宋体" w:hAnsi="宋体"/>
                <w:sz w:val="24"/>
              </w:rPr>
              <w:t>式</w:t>
            </w:r>
            <w:r>
              <w:rPr>
                <w:rFonts w:hint="eastAsia" w:ascii="宋体" w:hAnsi="宋体"/>
                <w:sz w:val="24"/>
                <w:lang w:eastAsia="zh-CN"/>
              </w:rPr>
              <w:t>电场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jc w:val="center"/>
              <w:rPr>
                <w:rFonts w:hint="eastAsia" w:ascii="宋体" w:hAnsi="宋体"/>
                <w:sz w:val="24"/>
              </w:rPr>
            </w:pPr>
            <w:r>
              <w:rPr>
                <w:rFonts w:hint="eastAsia" w:ascii="宋体" w:hAnsi="宋体"/>
                <w:sz w:val="24"/>
              </w:rPr>
              <w:t>设计功率</w:t>
            </w:r>
          </w:p>
        </w:tc>
        <w:tc>
          <w:tcPr>
            <w:tcW w:w="1134" w:type="dxa"/>
            <w:vAlign w:val="center"/>
          </w:tcPr>
          <w:p>
            <w:pPr>
              <w:jc w:val="center"/>
              <w:rPr>
                <w:rFonts w:ascii="宋体" w:hAnsi="宋体"/>
                <w:sz w:val="24"/>
              </w:rPr>
            </w:pPr>
            <w:r>
              <w:rPr>
                <w:rFonts w:hint="eastAsia" w:ascii="宋体" w:hAnsi="宋体"/>
                <w:sz w:val="24"/>
              </w:rPr>
              <w:t>KW</w:t>
            </w:r>
          </w:p>
        </w:tc>
        <w:tc>
          <w:tcPr>
            <w:tcW w:w="3831" w:type="dxa"/>
            <w:gridSpan w:val="2"/>
            <w:vAlign w:val="center"/>
          </w:tcPr>
          <w:p>
            <w:pPr>
              <w:ind w:firstLine="720" w:firstLineChars="300"/>
              <w:jc w:val="both"/>
              <w:rPr>
                <w:rFonts w:hint="eastAsia" w:ascii="宋体" w:hAnsi="宋体"/>
                <w:sz w:val="24"/>
                <w:lang w:val="en-US"/>
              </w:rPr>
            </w:pPr>
            <w:r>
              <w:rPr>
                <w:rFonts w:hint="eastAsia" w:ascii="宋体" w:hAnsi="宋体"/>
                <w:sz w:val="24"/>
                <w:lang w:val="en-US" w:eastAsia="zh-CN"/>
              </w:rPr>
              <w:t>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jc w:val="center"/>
              <w:rPr>
                <w:rFonts w:hint="eastAsia" w:ascii="宋体" w:hAnsi="宋体"/>
                <w:sz w:val="24"/>
              </w:rPr>
            </w:pPr>
            <w:r>
              <w:rPr>
                <w:rFonts w:hint="eastAsia" w:ascii="宋体" w:hAnsi="宋体"/>
                <w:sz w:val="24"/>
              </w:rPr>
              <w:t>使用寿命</w:t>
            </w:r>
          </w:p>
        </w:tc>
        <w:tc>
          <w:tcPr>
            <w:tcW w:w="1134" w:type="dxa"/>
            <w:vAlign w:val="center"/>
          </w:tcPr>
          <w:p>
            <w:pPr>
              <w:jc w:val="center"/>
              <w:rPr>
                <w:rFonts w:ascii="宋体" w:hAnsi="宋体"/>
                <w:sz w:val="24"/>
              </w:rPr>
            </w:pPr>
            <w:r>
              <w:rPr>
                <w:rFonts w:hint="eastAsia" w:ascii="宋体" w:hAnsi="宋体"/>
                <w:sz w:val="24"/>
              </w:rPr>
              <w:t>h</w:t>
            </w:r>
          </w:p>
        </w:tc>
        <w:tc>
          <w:tcPr>
            <w:tcW w:w="3831" w:type="dxa"/>
            <w:gridSpan w:val="2"/>
            <w:vAlign w:val="center"/>
          </w:tcPr>
          <w:p>
            <w:pPr>
              <w:ind w:firstLine="720" w:firstLineChars="300"/>
              <w:jc w:val="both"/>
              <w:rPr>
                <w:rFonts w:hint="eastAsia" w:ascii="宋体" w:hAnsi="宋体"/>
                <w:sz w:val="24"/>
              </w:rPr>
            </w:pPr>
            <w:r>
              <w:rPr>
                <w:rFonts w:hint="eastAsia" w:ascii="宋体" w:hAnsi="宋体"/>
                <w:sz w:val="24"/>
              </w:rPr>
              <w:t>80000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jc w:val="center"/>
              <w:rPr>
                <w:rFonts w:hint="eastAsia"/>
                <w:sz w:val="24"/>
                <w:lang w:eastAsia="zh-CN"/>
              </w:rPr>
            </w:pPr>
            <w:r>
              <w:rPr>
                <w:rFonts w:hint="eastAsia" w:ascii="宋体" w:hAnsi="宋体"/>
                <w:sz w:val="24"/>
              </w:rPr>
              <w:t>主体材料</w:t>
            </w:r>
          </w:p>
        </w:tc>
        <w:tc>
          <w:tcPr>
            <w:tcW w:w="1134" w:type="dxa"/>
            <w:vAlign w:val="center"/>
          </w:tcPr>
          <w:p>
            <w:pPr>
              <w:jc w:val="center"/>
              <w:rPr>
                <w:rFonts w:hint="eastAsia"/>
                <w:sz w:val="24"/>
                <w:lang w:val="en-US" w:eastAsia="zh-CN"/>
              </w:rPr>
            </w:pPr>
          </w:p>
        </w:tc>
        <w:tc>
          <w:tcPr>
            <w:tcW w:w="3831" w:type="dxa"/>
            <w:gridSpan w:val="2"/>
            <w:vAlign w:val="center"/>
          </w:tcPr>
          <w:p>
            <w:pPr>
              <w:ind w:firstLine="720" w:firstLineChars="300"/>
              <w:jc w:val="both"/>
              <w:rPr>
                <w:rFonts w:hint="eastAsia"/>
                <w:sz w:val="24"/>
                <w:lang w:val="en-US" w:eastAsia="zh-CN"/>
              </w:rPr>
            </w:pPr>
            <w:r>
              <w:rPr>
                <w:rFonts w:hint="eastAsia" w:ascii="宋体" w:hAnsi="宋体"/>
                <w:sz w:val="24"/>
                <w:lang w:val="en-US" w:eastAsia="zh-CN"/>
              </w:rPr>
              <w:t>201</w:t>
            </w:r>
            <w:r>
              <w:rPr>
                <w:rFonts w:hint="eastAsia" w:ascii="宋体" w:hAnsi="宋体"/>
                <w:sz w:val="24"/>
                <w:lang w:eastAsia="zh-CN"/>
              </w:rPr>
              <w:t>不锈钢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jc w:val="center"/>
              <w:rPr>
                <w:rFonts w:hint="eastAsia" w:ascii="宋体" w:hAnsi="宋体" w:cs="宋体"/>
                <w:color w:val="333333"/>
                <w:kern w:val="0"/>
                <w:sz w:val="24"/>
              </w:rPr>
            </w:pPr>
            <w:r>
              <w:rPr>
                <w:rFonts w:hint="eastAsia" w:ascii="宋体" w:hAnsi="宋体" w:cs="宋体"/>
                <w:color w:val="333333"/>
                <w:kern w:val="0"/>
                <w:sz w:val="24"/>
              </w:rPr>
              <w:t>使用方法</w:t>
            </w:r>
          </w:p>
        </w:tc>
        <w:tc>
          <w:tcPr>
            <w:tcW w:w="1134" w:type="dxa"/>
            <w:vAlign w:val="center"/>
          </w:tcPr>
          <w:p>
            <w:pPr>
              <w:jc w:val="center"/>
              <w:rPr>
                <w:rFonts w:hint="eastAsia"/>
                <w:sz w:val="24"/>
                <w:lang w:val="en-US" w:eastAsia="zh-CN"/>
              </w:rPr>
            </w:pPr>
          </w:p>
        </w:tc>
        <w:tc>
          <w:tcPr>
            <w:tcW w:w="3831" w:type="dxa"/>
            <w:gridSpan w:val="2"/>
            <w:vAlign w:val="center"/>
          </w:tcPr>
          <w:p>
            <w:pPr>
              <w:ind w:firstLine="720" w:firstLineChars="300"/>
              <w:jc w:val="both"/>
              <w:rPr>
                <w:rFonts w:hint="eastAsia"/>
                <w:sz w:val="24"/>
                <w:lang w:val="en-US" w:eastAsia="zh-CN"/>
              </w:rPr>
            </w:pPr>
            <w:r>
              <w:rPr>
                <w:rFonts w:hint="eastAsia" w:ascii="宋体" w:hAnsi="宋体"/>
                <w:sz w:val="24"/>
              </w:rPr>
              <w:t>负压使用</w:t>
            </w:r>
          </w:p>
        </w:tc>
      </w:tr>
    </w:tbl>
    <w:p>
      <w:pPr>
        <w:pStyle w:val="3"/>
        <w:rPr>
          <w:rFonts w:hint="eastAsia" w:ascii="仿宋" w:hAnsi="仿宋" w:eastAsia="仿宋" w:cs="仿宋"/>
          <w:b w:val="0"/>
          <w:bCs w:val="0"/>
          <w:kern w:val="2"/>
          <w:sz w:val="24"/>
          <w:szCs w:val="24"/>
          <w:lang w:val="en-US" w:eastAsia="zh-CN" w:bidi="ar-SA"/>
        </w:rPr>
      </w:pPr>
      <w:r>
        <w:rPr>
          <w:rFonts w:hint="eastAsia" w:ascii="仿宋" w:hAnsi="仿宋" w:cs="仿宋"/>
          <w:b/>
          <w:bCs/>
          <w:kern w:val="2"/>
          <w:sz w:val="24"/>
          <w:szCs w:val="24"/>
          <w:lang w:val="en-US" w:eastAsia="zh-CN" w:bidi="ar-SA"/>
        </w:rPr>
        <w:t>5</w:t>
      </w:r>
      <w:r>
        <w:rPr>
          <w:rFonts w:hint="eastAsia" w:ascii="仿宋" w:hAnsi="仿宋" w:eastAsia="仿宋" w:cs="仿宋"/>
          <w:b/>
          <w:bCs/>
          <w:kern w:val="2"/>
          <w:sz w:val="24"/>
          <w:szCs w:val="24"/>
          <w:lang w:val="en-US" w:eastAsia="zh-CN" w:bidi="ar-SA"/>
        </w:rPr>
        <w:t>.2 活性炭净化器</w:t>
      </w:r>
      <w:bookmarkEnd w:id="162"/>
      <w:bookmarkEnd w:id="163"/>
      <w:bookmarkEnd w:id="164"/>
      <w:bookmarkEnd w:id="165"/>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活性炭产品的性能指标可分为物理性能指标、化学性能指标、吸附性能指标，三种性能．活性炭的吸附可分为物理吸附和化学吸附。物理吸附主要发生在活性炭去除液相和气相中杂质的过程中。活性炭的多孔结构提供了大量的表面积，从而使其非常容易达到吸收收集杂质的目的。就象磁力一样，所有的分子之间都具有相互引力。</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正因为如此，活性炭孔壁上的大量的分子可以产生强大的引力，从而达到将介质中的杂质吸引到孔径中的目的。必须指出的是，这些被吸附的杂质的分子直径必须是要小于活性炭的孔径，这样才可可能保证杂质被吸收到孔径中。这也就是为什么我们通过不断地改变原材料和活化条件来创造具有不同的孔径结构的活性炭，从而适用于各种杂质吸收的应用。除了物理吸附之外，化学反应也经常发生在活性炭的表面。活性炭不仅含碳，而且在其表面含有少量的化学结合、功能团形式的氧和氢，例如羧基、羟基、酚类、内脂类、醌类、醚类等。这些表面上含有地氧化物或络合物可以与被吸附的物质发生化学反应，从而与被吸附物质结合聚集到活性炭的表面。主要优点：</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（1）吸附效率高</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（2）运行成本低</w:t>
      </w:r>
    </w:p>
    <w:p>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（3）维护方便</w:t>
      </w:r>
    </w:p>
    <w:p>
      <w:pPr>
        <w:spacing w:line="360" w:lineRule="auto"/>
        <w:ind w:firstLine="480" w:firstLineChars="200"/>
        <w:rPr>
          <w:rFonts w:hint="eastAsia" w:ascii="仿宋" w:hAnsi="仿宋" w:eastAsia="仿宋" w:cs="仿宋"/>
          <w:b w:val="0"/>
          <w:bCs w:val="0"/>
          <w:kern w:val="2"/>
          <w:sz w:val="24"/>
          <w:szCs w:val="24"/>
          <w:lang w:val="en-US" w:eastAsia="zh-CN" w:bidi="ar-SA"/>
        </w:rPr>
      </w:pPr>
    </w:p>
    <w:p>
      <w:pPr>
        <w:spacing w:line="360" w:lineRule="auto"/>
        <w:ind w:firstLine="480" w:firstLineChars="200"/>
        <w:rPr>
          <w:rFonts w:hint="eastAsia" w:ascii="仿宋" w:hAnsi="仿宋" w:eastAsia="仿宋" w:cs="仿宋"/>
          <w:b w:val="0"/>
          <w:bCs w:val="0"/>
          <w:kern w:val="2"/>
          <w:sz w:val="24"/>
          <w:szCs w:val="24"/>
          <w:lang w:val="en-US" w:eastAsia="zh-CN" w:bidi="ar-SA"/>
        </w:rPr>
      </w:pPr>
    </w:p>
    <w:p>
      <w:pPr>
        <w:spacing w:line="360" w:lineRule="auto"/>
        <w:ind w:firstLine="480" w:firstLineChars="200"/>
        <w:rPr>
          <w:rFonts w:hint="eastAsia" w:ascii="仿宋" w:hAnsi="仿宋" w:eastAsia="仿宋" w:cs="仿宋"/>
          <w:b w:val="0"/>
          <w:bCs w:val="0"/>
          <w:kern w:val="2"/>
          <w:sz w:val="24"/>
          <w:szCs w:val="24"/>
          <w:lang w:val="en-US" w:eastAsia="zh-CN" w:bidi="ar-SA"/>
        </w:rPr>
      </w:pPr>
    </w:p>
    <w:p>
      <w:pPr>
        <w:spacing w:line="360" w:lineRule="auto"/>
        <w:ind w:firstLine="720" w:firstLineChars="200"/>
        <w:jc w:val="center"/>
        <w:rPr>
          <w:rFonts w:hint="eastAsia" w:ascii="仿宋" w:hAnsi="仿宋" w:eastAsia="仿宋" w:cs="仿宋"/>
          <w:b w:val="0"/>
          <w:bCs w:val="0"/>
          <w:kern w:val="2"/>
          <w:sz w:val="24"/>
          <w:szCs w:val="24"/>
          <w:lang w:val="en-US" w:eastAsia="zh-CN" w:bidi="ar-SA"/>
        </w:rPr>
      </w:pPr>
      <w:r>
        <w:rPr>
          <w:rFonts w:hint="eastAsia"/>
          <w:color w:val="auto"/>
          <w:sz w:val="36"/>
          <w:szCs w:val="36"/>
          <w:lang w:val="en-US" w:eastAsia="zh-CN"/>
        </w:rPr>
        <w:t>30000</w:t>
      </w:r>
      <w:r>
        <w:rPr>
          <w:rFonts w:hint="eastAsia"/>
          <w:color w:val="auto"/>
          <w:sz w:val="36"/>
          <w:szCs w:val="36"/>
        </w:rPr>
        <w:t>m3/h风量</w:t>
      </w:r>
      <w:r>
        <w:rPr>
          <w:rFonts w:hint="eastAsia"/>
          <w:color w:val="auto"/>
          <w:sz w:val="36"/>
          <w:szCs w:val="36"/>
          <w:lang w:eastAsia="zh-CN"/>
        </w:rPr>
        <w:t>活性炭净化器</w:t>
      </w:r>
      <w:r>
        <w:rPr>
          <w:rFonts w:hint="eastAsia"/>
          <w:color w:val="auto"/>
          <w:sz w:val="36"/>
          <w:szCs w:val="36"/>
        </w:rPr>
        <w:t>设备参数</w:t>
      </w:r>
    </w:p>
    <w:tbl>
      <w:tblPr>
        <w:tblStyle w:val="12"/>
        <w:tblW w:w="865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71" w:type="dxa"/>
          <w:bottom w:w="0" w:type="dxa"/>
          <w:right w:w="71" w:type="dxa"/>
        </w:tblCellMar>
      </w:tblPr>
      <w:tblGrid>
        <w:gridCol w:w="567"/>
        <w:gridCol w:w="2435"/>
        <w:gridCol w:w="684"/>
        <w:gridCol w:w="1134"/>
        <w:gridCol w:w="807"/>
        <w:gridCol w:w="302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71" w:type="dxa"/>
            <w:bottom w:w="0" w:type="dxa"/>
            <w:right w:w="71" w:type="dxa"/>
          </w:tblCellMar>
        </w:tblPrEx>
        <w:trPr>
          <w:cantSplit/>
          <w:trHeight w:val="454" w:hRule="atLeast"/>
          <w:tblHeader/>
          <w:jc w:val="center"/>
        </w:trPr>
        <w:tc>
          <w:tcPr>
            <w:tcW w:w="3002" w:type="dxa"/>
            <w:gridSpan w:val="2"/>
            <w:vAlign w:val="center"/>
          </w:tcPr>
          <w:p>
            <w:pPr>
              <w:spacing w:line="360" w:lineRule="auto"/>
              <w:ind w:firstLine="720" w:firstLineChars="300"/>
              <w:rPr>
                <w:sz w:val="24"/>
                <w:lang w:val="fr-FR"/>
              </w:rPr>
            </w:pPr>
            <w:r>
              <w:rPr>
                <w:rFonts w:hint="eastAsia"/>
                <w:sz w:val="24"/>
                <w:lang w:val="fr-FR"/>
              </w:rPr>
              <w:t>技术数据表</w:t>
            </w:r>
          </w:p>
        </w:tc>
        <w:tc>
          <w:tcPr>
            <w:tcW w:w="2625" w:type="dxa"/>
            <w:gridSpan w:val="3"/>
            <w:vAlign w:val="center"/>
          </w:tcPr>
          <w:p>
            <w:pPr>
              <w:spacing w:line="360" w:lineRule="auto"/>
              <w:ind w:firstLine="720" w:firstLineChars="300"/>
              <w:rPr>
                <w:sz w:val="24"/>
              </w:rPr>
            </w:pPr>
            <w:r>
              <w:rPr>
                <w:rFonts w:hint="eastAsia"/>
                <w:sz w:val="24"/>
              </w:rPr>
              <w:t>废气处理</w:t>
            </w:r>
          </w:p>
        </w:tc>
        <w:tc>
          <w:tcPr>
            <w:tcW w:w="3024" w:type="dxa"/>
            <w:vAlign w:val="center"/>
          </w:tcPr>
          <w:p>
            <w:pPr>
              <w:spacing w:line="360" w:lineRule="auto"/>
              <w:ind w:firstLine="720" w:firstLineChars="300"/>
              <w:rPr>
                <w:sz w:val="24"/>
              </w:rPr>
            </w:pPr>
            <w:r>
              <w:rPr>
                <w:rFonts w:hint="eastAsia"/>
                <w:sz w:val="24"/>
              </w:rPr>
              <w:t>制造厂</w:t>
            </w:r>
            <w:r>
              <w:rPr>
                <w:sz w:val="24"/>
              </w:rPr>
              <w:t>:</w:t>
            </w:r>
            <w:r>
              <w:rPr>
                <w:rFonts w:hint="eastAsia"/>
                <w:sz w:val="24"/>
                <w:lang w:eastAsia="zh-CN"/>
              </w:rPr>
              <w:t>绍兴顶研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型号</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sz w:val="24"/>
              </w:rPr>
            </w:pPr>
            <w:r>
              <w:rPr>
                <w:rFonts w:hint="eastAsia"/>
                <w:sz w:val="24"/>
                <w:lang w:val="en-US" w:eastAsia="zh-CN"/>
              </w:rPr>
              <w:t>DY</w:t>
            </w:r>
            <w:r>
              <w:rPr>
                <w:sz w:val="24"/>
              </w:rPr>
              <w:t>-HXT-</w:t>
            </w:r>
            <w:r>
              <w:rPr>
                <w:rFonts w:hint="eastAsia"/>
                <w:sz w:val="24"/>
                <w:lang w:val="en-US" w:eastAsia="zh-CN"/>
              </w:rPr>
              <w:t>3</w:t>
            </w:r>
            <w:r>
              <w:rPr>
                <w:sz w:val="24"/>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用途</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sz w:val="24"/>
                <w:lang w:val="fr-FR"/>
              </w:rPr>
            </w:pPr>
            <w:r>
              <w:rPr>
                <w:rFonts w:hint="eastAsia"/>
                <w:sz w:val="24"/>
              </w:rPr>
              <w:t>有机废气处理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布置型式</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sz w:val="24"/>
                <w:lang w:val="fr-FR"/>
              </w:rPr>
            </w:pPr>
            <w:r>
              <w:rPr>
                <w:rFonts w:hint="eastAsia"/>
                <w:sz w:val="24"/>
              </w:rPr>
              <w:t>露天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数量</w:t>
            </w:r>
          </w:p>
        </w:tc>
        <w:tc>
          <w:tcPr>
            <w:tcW w:w="1134" w:type="dxa"/>
            <w:vAlign w:val="center"/>
          </w:tcPr>
          <w:p>
            <w:pPr>
              <w:spacing w:line="360" w:lineRule="auto"/>
              <w:ind w:firstLine="360" w:firstLineChars="150"/>
              <w:rPr>
                <w:sz w:val="24"/>
              </w:rPr>
            </w:pPr>
            <w:r>
              <w:rPr>
                <w:rFonts w:hint="eastAsia"/>
                <w:sz w:val="24"/>
              </w:rPr>
              <w:t>台</w:t>
            </w:r>
          </w:p>
        </w:tc>
        <w:tc>
          <w:tcPr>
            <w:tcW w:w="3831" w:type="dxa"/>
            <w:gridSpan w:val="2"/>
            <w:vAlign w:val="center"/>
          </w:tcPr>
          <w:p>
            <w:pPr>
              <w:spacing w:line="360" w:lineRule="auto"/>
              <w:ind w:firstLine="720" w:firstLineChars="300"/>
              <w:rPr>
                <w:sz w:val="24"/>
              </w:rPr>
            </w:pPr>
            <w:r>
              <w:rPr>
                <w:sz w:val="24"/>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进口风量</w:t>
            </w:r>
          </w:p>
        </w:tc>
        <w:tc>
          <w:tcPr>
            <w:tcW w:w="1134" w:type="dxa"/>
            <w:vAlign w:val="center"/>
          </w:tcPr>
          <w:p>
            <w:pPr>
              <w:spacing w:line="360" w:lineRule="auto"/>
              <w:jc w:val="center"/>
              <w:rPr>
                <w:sz w:val="24"/>
              </w:rPr>
            </w:pPr>
            <w:r>
              <w:rPr>
                <w:sz w:val="24"/>
              </w:rPr>
              <w:t>m</w:t>
            </w:r>
            <w:r>
              <w:rPr>
                <w:sz w:val="24"/>
                <w:vertAlign w:val="superscript"/>
              </w:rPr>
              <w:t>3</w:t>
            </w:r>
            <w:r>
              <w:rPr>
                <w:sz w:val="24"/>
              </w:rPr>
              <w:t>/h</w:t>
            </w:r>
          </w:p>
        </w:tc>
        <w:tc>
          <w:tcPr>
            <w:tcW w:w="3831" w:type="dxa"/>
            <w:gridSpan w:val="2"/>
            <w:vAlign w:val="center"/>
          </w:tcPr>
          <w:p>
            <w:pPr>
              <w:spacing w:line="360" w:lineRule="auto"/>
              <w:ind w:firstLine="720" w:firstLineChars="300"/>
              <w:rPr>
                <w:sz w:val="24"/>
              </w:rPr>
            </w:pPr>
            <w:r>
              <w:rPr>
                <w:rFonts w:hint="eastAsia"/>
                <w:sz w:val="24"/>
                <w:lang w:val="en-US" w:eastAsia="zh-CN"/>
              </w:rPr>
              <w:t>3</w:t>
            </w:r>
            <w:r>
              <w:rPr>
                <w:sz w:val="24"/>
              </w:rPr>
              <w:t>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工作温度</w:t>
            </w:r>
          </w:p>
        </w:tc>
        <w:tc>
          <w:tcPr>
            <w:tcW w:w="1134" w:type="dxa"/>
            <w:vAlign w:val="center"/>
          </w:tcPr>
          <w:p>
            <w:pPr>
              <w:spacing w:line="360" w:lineRule="auto"/>
              <w:jc w:val="center"/>
              <w:rPr>
                <w:sz w:val="24"/>
              </w:rPr>
            </w:pPr>
            <w:r>
              <w:rPr>
                <w:rFonts w:hint="eastAsia"/>
                <w:sz w:val="24"/>
              </w:rPr>
              <w:t>℃</w:t>
            </w:r>
          </w:p>
        </w:tc>
        <w:tc>
          <w:tcPr>
            <w:tcW w:w="3831" w:type="dxa"/>
            <w:gridSpan w:val="2"/>
            <w:vAlign w:val="center"/>
          </w:tcPr>
          <w:p>
            <w:pPr>
              <w:spacing w:line="360" w:lineRule="auto"/>
              <w:ind w:firstLine="720" w:firstLineChars="300"/>
              <w:rPr>
                <w:sz w:val="24"/>
              </w:rPr>
            </w:pPr>
            <w:r>
              <w:rPr>
                <w:rFonts w:hint="eastAsia"/>
                <w:sz w:val="24"/>
              </w:rPr>
              <w:t>常温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设备阻力</w:t>
            </w:r>
          </w:p>
        </w:tc>
        <w:tc>
          <w:tcPr>
            <w:tcW w:w="1134" w:type="dxa"/>
            <w:vAlign w:val="center"/>
          </w:tcPr>
          <w:p>
            <w:pPr>
              <w:spacing w:line="360" w:lineRule="auto"/>
              <w:jc w:val="center"/>
              <w:rPr>
                <w:sz w:val="24"/>
              </w:rPr>
            </w:pPr>
            <w:r>
              <w:rPr>
                <w:sz w:val="24"/>
              </w:rPr>
              <w:t>Pa</w:t>
            </w:r>
          </w:p>
        </w:tc>
        <w:tc>
          <w:tcPr>
            <w:tcW w:w="3831" w:type="dxa"/>
            <w:gridSpan w:val="2"/>
            <w:vAlign w:val="center"/>
          </w:tcPr>
          <w:p>
            <w:pPr>
              <w:spacing w:line="360" w:lineRule="auto"/>
              <w:ind w:firstLine="720" w:firstLineChars="300"/>
              <w:rPr>
                <w:sz w:val="24"/>
              </w:rPr>
            </w:pPr>
            <w:r>
              <w:rPr>
                <w:rFonts w:hint="eastAsia"/>
                <w:sz w:val="24"/>
                <w:lang w:val="en-US" w:eastAsia="zh-CN"/>
              </w:rPr>
              <w:t>10</w:t>
            </w:r>
            <w:r>
              <w:rPr>
                <w:sz w:val="24"/>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最大漏风量</w:t>
            </w:r>
          </w:p>
        </w:tc>
        <w:tc>
          <w:tcPr>
            <w:tcW w:w="1134" w:type="dxa"/>
            <w:vAlign w:val="center"/>
          </w:tcPr>
          <w:p>
            <w:pPr>
              <w:spacing w:line="360" w:lineRule="auto"/>
              <w:jc w:val="center"/>
              <w:rPr>
                <w:sz w:val="24"/>
              </w:rPr>
            </w:pPr>
            <w:r>
              <w:rPr>
                <w:rFonts w:hint="eastAsia"/>
                <w:sz w:val="24"/>
              </w:rPr>
              <w:t>％</w:t>
            </w:r>
          </w:p>
        </w:tc>
        <w:tc>
          <w:tcPr>
            <w:tcW w:w="3831" w:type="dxa"/>
            <w:gridSpan w:val="2"/>
            <w:vAlign w:val="center"/>
          </w:tcPr>
          <w:p>
            <w:pPr>
              <w:spacing w:line="360" w:lineRule="auto"/>
              <w:ind w:firstLine="720" w:firstLineChars="300"/>
              <w:rPr>
                <w:sz w:val="24"/>
              </w:rPr>
            </w:pPr>
            <w:r>
              <w:rPr>
                <w:rFonts w:hint="eastAsia"/>
                <w:sz w:val="24"/>
              </w:rPr>
              <w:t>＜</w:t>
            </w:r>
            <w:r>
              <w:rPr>
                <w:sz w:val="24"/>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活性碳用量</w:t>
            </w:r>
          </w:p>
        </w:tc>
        <w:tc>
          <w:tcPr>
            <w:tcW w:w="1134" w:type="dxa"/>
            <w:vAlign w:val="center"/>
          </w:tcPr>
          <w:p>
            <w:pPr>
              <w:spacing w:line="360" w:lineRule="auto"/>
              <w:jc w:val="center"/>
              <w:rPr>
                <w:sz w:val="24"/>
              </w:rPr>
            </w:pPr>
            <w:r>
              <w:rPr>
                <w:sz w:val="24"/>
              </w:rPr>
              <w:t>M</w:t>
            </w:r>
            <w:r>
              <w:rPr>
                <w:sz w:val="24"/>
                <w:vertAlign w:val="superscript"/>
              </w:rPr>
              <w:t>3</w:t>
            </w:r>
          </w:p>
        </w:tc>
        <w:tc>
          <w:tcPr>
            <w:tcW w:w="3831" w:type="dxa"/>
            <w:gridSpan w:val="2"/>
            <w:vAlign w:val="center"/>
          </w:tcPr>
          <w:p>
            <w:pPr>
              <w:spacing w:line="360" w:lineRule="auto"/>
              <w:ind w:firstLine="720" w:firstLineChars="300"/>
              <w:rPr>
                <w:rFonts w:hint="eastAsia" w:eastAsia="宋体"/>
                <w:sz w:val="24"/>
                <w:lang w:eastAsia="zh-CN"/>
              </w:rPr>
            </w:pPr>
            <w:r>
              <w:rPr>
                <w:rFonts w:hint="eastAsia"/>
                <w:sz w:val="24"/>
                <w:lang w:val="en-US" w:eastAsia="zh-CN"/>
              </w:rPr>
              <w:t>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活性碳规格</w:t>
            </w:r>
          </w:p>
        </w:tc>
        <w:tc>
          <w:tcPr>
            <w:tcW w:w="1134" w:type="dxa"/>
            <w:vAlign w:val="center"/>
          </w:tcPr>
          <w:p>
            <w:pPr>
              <w:spacing w:line="360" w:lineRule="auto"/>
              <w:jc w:val="center"/>
              <w:rPr>
                <w:sz w:val="24"/>
              </w:rPr>
            </w:pPr>
            <w:r>
              <w:rPr>
                <w:sz w:val="24"/>
              </w:rPr>
              <w:t>mm</w:t>
            </w:r>
          </w:p>
        </w:tc>
        <w:tc>
          <w:tcPr>
            <w:tcW w:w="3831" w:type="dxa"/>
            <w:gridSpan w:val="2"/>
            <w:vAlign w:val="center"/>
          </w:tcPr>
          <w:p>
            <w:pPr>
              <w:spacing w:line="360" w:lineRule="auto"/>
              <w:ind w:firstLine="720" w:firstLineChars="300"/>
              <w:rPr>
                <w:sz w:val="24"/>
              </w:rPr>
            </w:pPr>
            <w:r>
              <w:rPr>
                <w:sz w:val="24"/>
              </w:rPr>
              <w:t>100*100*100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水份</w:t>
            </w:r>
          </w:p>
        </w:tc>
        <w:tc>
          <w:tcPr>
            <w:tcW w:w="1134" w:type="dxa"/>
            <w:vAlign w:val="center"/>
          </w:tcPr>
          <w:p>
            <w:pPr>
              <w:spacing w:line="360" w:lineRule="auto"/>
              <w:jc w:val="center"/>
              <w:rPr>
                <w:sz w:val="24"/>
              </w:rPr>
            </w:pPr>
            <w:r>
              <w:rPr>
                <w:rFonts w:hint="eastAsia"/>
                <w:sz w:val="24"/>
              </w:rPr>
              <w:t>≦</w:t>
            </w:r>
            <w:r>
              <w:rPr>
                <w:sz w:val="24"/>
              </w:rPr>
              <w:t>%</w:t>
            </w:r>
          </w:p>
        </w:tc>
        <w:tc>
          <w:tcPr>
            <w:tcW w:w="3831" w:type="dxa"/>
            <w:gridSpan w:val="2"/>
            <w:vAlign w:val="center"/>
          </w:tcPr>
          <w:p>
            <w:pPr>
              <w:spacing w:line="360" w:lineRule="auto"/>
              <w:ind w:firstLine="720" w:firstLineChars="300"/>
              <w:rPr>
                <w:sz w:val="24"/>
              </w:rPr>
            </w:pPr>
            <w:r>
              <w:rPr>
                <w:sz w:val="24"/>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酸碱度（</w:t>
            </w:r>
            <w:r>
              <w:rPr>
                <w:sz w:val="24"/>
              </w:rPr>
              <w:t>PH</w:t>
            </w:r>
            <w:r>
              <w:rPr>
                <w:rFonts w:hint="eastAsia"/>
                <w:sz w:val="24"/>
              </w:rPr>
              <w:t>）</w:t>
            </w:r>
          </w:p>
        </w:tc>
        <w:tc>
          <w:tcPr>
            <w:tcW w:w="1134" w:type="dxa"/>
            <w:vAlign w:val="center"/>
          </w:tcPr>
          <w:p>
            <w:pPr>
              <w:spacing w:line="360" w:lineRule="auto"/>
              <w:jc w:val="center"/>
              <w:rPr>
                <w:sz w:val="24"/>
              </w:rPr>
            </w:pPr>
            <w:r>
              <w:rPr>
                <w:rFonts w:hint="eastAsia"/>
                <w:sz w:val="24"/>
              </w:rPr>
              <w:t>≧</w:t>
            </w:r>
          </w:p>
        </w:tc>
        <w:tc>
          <w:tcPr>
            <w:tcW w:w="3831" w:type="dxa"/>
            <w:gridSpan w:val="2"/>
            <w:vAlign w:val="center"/>
          </w:tcPr>
          <w:p>
            <w:pPr>
              <w:spacing w:line="360" w:lineRule="auto"/>
              <w:ind w:firstLine="720" w:firstLineChars="300"/>
              <w:rPr>
                <w:sz w:val="24"/>
              </w:rPr>
            </w:pPr>
            <w:r>
              <w:rPr>
                <w:sz w:val="24"/>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总孔数</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sz w:val="24"/>
              </w:rPr>
            </w:pPr>
            <w:r>
              <w:rPr>
                <w:sz w:val="24"/>
              </w:rPr>
              <w:t>1600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微孔容积</w:t>
            </w:r>
            <w:r>
              <w:rPr>
                <w:sz w:val="24"/>
              </w:rPr>
              <w:t>cm</w:t>
            </w:r>
            <w:r>
              <w:rPr>
                <w:sz w:val="24"/>
                <w:vertAlign w:val="superscript"/>
              </w:rPr>
              <w:t>3</w:t>
            </w:r>
            <w:r>
              <w:rPr>
                <w:sz w:val="24"/>
              </w:rPr>
              <w:t>/g</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sz w:val="24"/>
              </w:rPr>
            </w:pPr>
            <w:r>
              <w:rPr>
                <w:bCs/>
                <w:sz w:val="24"/>
              </w:rPr>
              <w:t>~0.43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表观密度</w:t>
            </w:r>
            <w:r>
              <w:rPr>
                <w:sz w:val="24"/>
              </w:rPr>
              <w:t>g/cm</w:t>
            </w:r>
            <w:r>
              <w:rPr>
                <w:sz w:val="24"/>
                <w:vertAlign w:val="superscript"/>
              </w:rPr>
              <w:t>3</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bCs/>
                <w:sz w:val="24"/>
              </w:rPr>
            </w:pPr>
            <w:r>
              <w:rPr>
                <w:bCs/>
                <w:sz w:val="24"/>
              </w:rPr>
              <w:t>0.38-0.42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脱附温度℃</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bCs/>
                <w:sz w:val="24"/>
              </w:rPr>
            </w:pPr>
            <w:r>
              <w:rPr>
                <w:bCs/>
                <w:sz w:val="24"/>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灰分；≦</w:t>
            </w:r>
            <w:r>
              <w:rPr>
                <w:sz w:val="24"/>
              </w:rPr>
              <w:t>%</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bCs/>
                <w:sz w:val="24"/>
              </w:rPr>
            </w:pPr>
            <w:r>
              <w:rPr>
                <w:bCs/>
                <w:sz w:val="24"/>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吸附性能</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bCs/>
                <w:sz w:val="24"/>
              </w:rPr>
            </w:pPr>
            <w:r>
              <w:rPr>
                <w:rFonts w:hint="eastAsia"/>
                <w:bCs/>
                <w:sz w:val="24"/>
              </w:rPr>
              <w:t>四氯化碳</w:t>
            </w:r>
            <w:r>
              <w:rPr>
                <w:bCs/>
                <w:sz w:val="24"/>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苯吸附率</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bCs/>
                <w:sz w:val="24"/>
              </w:rPr>
            </w:pPr>
            <w:r>
              <w:rPr>
                <w:bCs/>
                <w:sz w:val="24"/>
              </w:rPr>
              <w:t>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rPr>
              <w:t>抗压强度</w:t>
            </w:r>
            <w:r>
              <w:rPr>
                <w:sz w:val="24"/>
              </w:rPr>
              <w:t>mpa</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bCs/>
                <w:sz w:val="24"/>
              </w:rPr>
            </w:pPr>
            <w:r>
              <w:rPr>
                <w:rFonts w:hint="eastAsia"/>
                <w:bCs/>
                <w:sz w:val="24"/>
              </w:rPr>
              <w:t>正压</w:t>
            </w:r>
            <w:r>
              <w:rPr>
                <w:bCs/>
                <w:sz w:val="24"/>
              </w:rPr>
              <w:t>0.8</w:t>
            </w:r>
            <w:r>
              <w:rPr>
                <w:rFonts w:hint="eastAsia"/>
                <w:bCs/>
                <w:sz w:val="24"/>
              </w:rPr>
              <w:t>，侧压</w:t>
            </w:r>
            <w:r>
              <w:rPr>
                <w:bCs/>
                <w:sz w:val="24"/>
              </w:rPr>
              <w:t>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rPr>
            </w:pPr>
            <w:r>
              <w:rPr>
                <w:rFonts w:hint="eastAsia"/>
                <w:sz w:val="24"/>
                <w:lang w:val="fr-FR"/>
              </w:rPr>
              <w:t>活性炭滤料</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sz w:val="24"/>
              </w:rPr>
            </w:pPr>
            <w:r>
              <w:rPr>
                <w:rFonts w:hint="eastAsia"/>
                <w:sz w:val="24"/>
                <w:lang w:val="fr-FR"/>
              </w:rPr>
              <w:t>椰壳果壳活性炭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1" w:type="dxa"/>
            <w:bottom w:w="0" w:type="dxa"/>
            <w:right w:w="31" w:type="dxa"/>
          </w:tblCellMar>
        </w:tblPrEx>
        <w:trPr>
          <w:cantSplit/>
          <w:trHeight w:val="454" w:hRule="atLeast"/>
          <w:jc w:val="center"/>
        </w:trPr>
        <w:tc>
          <w:tcPr>
            <w:tcW w:w="567" w:type="dxa"/>
            <w:vAlign w:val="center"/>
          </w:tcPr>
          <w:p>
            <w:pPr>
              <w:spacing w:line="360" w:lineRule="auto"/>
              <w:ind w:firstLine="720" w:firstLineChars="300"/>
              <w:rPr>
                <w:sz w:val="24"/>
              </w:rPr>
            </w:pPr>
          </w:p>
        </w:tc>
        <w:tc>
          <w:tcPr>
            <w:tcW w:w="3119" w:type="dxa"/>
            <w:gridSpan w:val="2"/>
            <w:vAlign w:val="center"/>
          </w:tcPr>
          <w:p>
            <w:pPr>
              <w:spacing w:line="360" w:lineRule="auto"/>
              <w:ind w:firstLine="720" w:firstLineChars="300"/>
              <w:rPr>
                <w:sz w:val="24"/>
                <w:lang w:val="fr-FR"/>
              </w:rPr>
            </w:pPr>
            <w:r>
              <w:rPr>
                <w:rFonts w:hint="eastAsia"/>
                <w:sz w:val="24"/>
                <w:lang w:val="fr-FR"/>
              </w:rPr>
              <w:t>活性炭形状</w:t>
            </w:r>
          </w:p>
        </w:tc>
        <w:tc>
          <w:tcPr>
            <w:tcW w:w="1134" w:type="dxa"/>
            <w:vAlign w:val="center"/>
          </w:tcPr>
          <w:p>
            <w:pPr>
              <w:spacing w:line="360" w:lineRule="auto"/>
              <w:ind w:firstLine="720" w:firstLineChars="300"/>
              <w:rPr>
                <w:sz w:val="24"/>
              </w:rPr>
            </w:pPr>
          </w:p>
        </w:tc>
        <w:tc>
          <w:tcPr>
            <w:tcW w:w="3831" w:type="dxa"/>
            <w:gridSpan w:val="2"/>
            <w:vAlign w:val="center"/>
          </w:tcPr>
          <w:p>
            <w:pPr>
              <w:spacing w:line="360" w:lineRule="auto"/>
              <w:ind w:firstLine="720" w:firstLineChars="300"/>
              <w:rPr>
                <w:sz w:val="24"/>
                <w:lang w:val="fr-FR"/>
              </w:rPr>
            </w:pPr>
            <w:r>
              <w:rPr>
                <w:rFonts w:hint="eastAsia"/>
                <w:sz w:val="24"/>
                <w:lang w:val="fr-FR"/>
              </w:rPr>
              <w:t>蜂窝块状</w:t>
            </w:r>
          </w:p>
        </w:tc>
      </w:tr>
    </w:tbl>
    <w:p>
      <w:pPr>
        <w:spacing w:line="360" w:lineRule="auto"/>
        <w:rPr>
          <w:rFonts w:hint="eastAsia" w:ascii="宋体" w:hAnsi="宋体" w:eastAsia="宋体" w:cs="宋体"/>
          <w:sz w:val="24"/>
          <w:szCs w:val="24"/>
          <w:lang w:val="en-US" w:eastAsia="zh-CN"/>
        </w:rPr>
      </w:pPr>
    </w:p>
    <w:p>
      <w:pPr>
        <w:spacing w:line="360" w:lineRule="auto"/>
        <w:rPr>
          <w:rFonts w:hint="eastAsia" w:ascii="宋体" w:hAnsi="宋体" w:eastAsia="宋体" w:cs="宋体"/>
          <w:sz w:val="24"/>
          <w:szCs w:val="24"/>
          <w:lang w:val="en-US" w:eastAsia="zh-CN"/>
        </w:rPr>
      </w:pPr>
    </w:p>
    <w:p>
      <w:pPr>
        <w:pStyle w:val="2"/>
        <w:jc w:val="center"/>
        <w:rPr>
          <w:rFonts w:hint="eastAsia"/>
          <w:lang w:val="en-US" w:eastAsia="zh-CN"/>
        </w:rPr>
      </w:pPr>
      <w:bookmarkStart w:id="166" w:name="_Toc23881"/>
      <w:bookmarkStart w:id="167" w:name="_Toc31999"/>
      <w:bookmarkStart w:id="168" w:name="_Toc1938"/>
      <w:bookmarkStart w:id="169" w:name="_Toc13345"/>
      <w:bookmarkStart w:id="170" w:name="_Toc305"/>
      <w:bookmarkStart w:id="171" w:name="_Toc28492"/>
      <w:bookmarkStart w:id="172" w:name="_Toc6725_WPSOffice_Level1"/>
      <w:bookmarkStart w:id="173" w:name="_Toc4098_WPSOffice_Level1"/>
      <w:bookmarkStart w:id="174" w:name="_Toc22435_WPSOffice_Level1"/>
      <w:bookmarkStart w:id="175" w:name="_Toc31666"/>
      <w:r>
        <w:rPr>
          <w:rFonts w:hint="eastAsia"/>
          <w:lang w:val="en-US" w:eastAsia="zh-CN"/>
        </w:rPr>
        <w:t>第六章 工程进度</w:t>
      </w:r>
      <w:bookmarkEnd w:id="166"/>
      <w:bookmarkEnd w:id="167"/>
      <w:bookmarkEnd w:id="168"/>
      <w:bookmarkEnd w:id="169"/>
      <w:bookmarkEnd w:id="170"/>
      <w:bookmarkEnd w:id="171"/>
      <w:bookmarkEnd w:id="172"/>
      <w:bookmarkEnd w:id="173"/>
      <w:bookmarkEnd w:id="174"/>
    </w:p>
    <w:p>
      <w:pPr>
        <w:rPr>
          <w:rFonts w:hint="eastAsia" w:ascii="仿宋_GB2312" w:hAnsi="宋体" w:eastAsia="仿宋_GB2312"/>
          <w:sz w:val="24"/>
          <w:szCs w:val="28"/>
          <w:lang w:val="en-US" w:eastAsia="zh-CN"/>
        </w:rPr>
      </w:pPr>
      <w:r>
        <w:rPr>
          <w:rFonts w:hint="eastAsia" w:ascii="仿宋" w:hAnsi="仿宋" w:eastAsia="仿宋" w:cs="仿宋"/>
          <w:b w:val="0"/>
          <w:bCs w:val="0"/>
          <w:kern w:val="2"/>
          <w:sz w:val="24"/>
          <w:szCs w:val="24"/>
          <w:lang w:val="en-US" w:eastAsia="zh-CN" w:bidi="ar-SA"/>
        </w:rPr>
        <w:t xml:space="preserve">   以预付款收到为准，设备及相应配套生产周期大约12天，生产10天，发货安装等工序2天。</w:t>
      </w:r>
    </w:p>
    <w:p>
      <w:pPr>
        <w:rPr>
          <w:rFonts w:hint="eastAsia" w:ascii="宋体" w:hAnsi="宋体" w:cs="宋体"/>
          <w:sz w:val="24"/>
        </w:rPr>
      </w:pPr>
    </w:p>
    <w:tbl>
      <w:tblPr>
        <w:tblStyle w:val="12"/>
        <w:tblW w:w="9225" w:type="dxa"/>
        <w:tblInd w:w="-284" w:type="dxa"/>
        <w:tblLayout w:type="fixed"/>
        <w:tblCellMar>
          <w:top w:w="0" w:type="dxa"/>
          <w:left w:w="108" w:type="dxa"/>
          <w:bottom w:w="0" w:type="dxa"/>
          <w:right w:w="108" w:type="dxa"/>
        </w:tblCellMar>
      </w:tblPr>
      <w:tblGrid>
        <w:gridCol w:w="2310"/>
        <w:gridCol w:w="1066"/>
        <w:gridCol w:w="1097"/>
        <w:gridCol w:w="1097"/>
        <w:gridCol w:w="1096"/>
        <w:gridCol w:w="1059"/>
        <w:gridCol w:w="1500"/>
      </w:tblGrid>
      <w:tr>
        <w:tblPrEx>
          <w:tblLayout w:type="fixed"/>
          <w:tblCellMar>
            <w:top w:w="0" w:type="dxa"/>
            <w:left w:w="108" w:type="dxa"/>
            <w:bottom w:w="0" w:type="dxa"/>
            <w:right w:w="108" w:type="dxa"/>
          </w:tblCellMar>
        </w:tblPrEx>
        <w:trPr>
          <w:trHeight w:val="334" w:hRule="atLeast"/>
        </w:trPr>
        <w:tc>
          <w:tcPr>
            <w:tcW w:w="2310" w:type="dxa"/>
            <w:tcBorders>
              <w:top w:val="single" w:color="auto" w:sz="8" w:space="0"/>
              <w:left w:val="single" w:color="auto" w:sz="8" w:space="0"/>
              <w:bottom w:val="single" w:color="auto" w:sz="8" w:space="0"/>
              <w:right w:val="single" w:color="auto" w:sz="8" w:space="0"/>
            </w:tcBorders>
            <w:vAlign w:val="center"/>
          </w:tcPr>
          <w:p>
            <w:pPr>
              <w:jc w:val="center"/>
              <w:rPr>
                <w:rFonts w:hint="eastAsia" w:ascii="仿宋_GB2312" w:hAnsi="宋体" w:eastAsia="仿宋_GB2312"/>
                <w:sz w:val="24"/>
                <w:szCs w:val="28"/>
                <w:lang w:val="en-US" w:eastAsia="zh-CN"/>
              </w:rPr>
            </w:pPr>
            <w:r>
              <w:rPr>
                <w:rFonts w:hint="eastAsia" w:ascii="仿宋" w:hAnsi="仿宋" w:eastAsia="仿宋" w:cs="仿宋"/>
                <w:b w:val="0"/>
                <w:bCs w:val="0"/>
                <w:kern w:val="2"/>
                <w:sz w:val="24"/>
                <w:szCs w:val="24"/>
                <w:lang w:val="en-US" w:eastAsia="zh-CN" w:bidi="ar-SA"/>
              </w:rPr>
              <w:t>日期工作内容</w:t>
            </w:r>
          </w:p>
        </w:tc>
        <w:tc>
          <w:tcPr>
            <w:tcW w:w="1066" w:type="dxa"/>
            <w:tcBorders>
              <w:top w:val="single" w:color="auto" w:sz="8" w:space="0"/>
              <w:left w:val="nil"/>
              <w:bottom w:val="single" w:color="auto" w:sz="8" w:space="0"/>
              <w:right w:val="single" w:color="auto" w:sz="8" w:space="0"/>
            </w:tcBorders>
            <w:vAlign w:val="center"/>
          </w:tcPr>
          <w:p>
            <w:pPr>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第二天</w:t>
            </w:r>
          </w:p>
        </w:tc>
        <w:tc>
          <w:tcPr>
            <w:tcW w:w="1097" w:type="dxa"/>
            <w:tcBorders>
              <w:top w:val="single" w:color="auto" w:sz="8" w:space="0"/>
              <w:left w:val="nil"/>
              <w:bottom w:val="single" w:color="auto" w:sz="8" w:space="0"/>
              <w:right w:val="single" w:color="auto" w:sz="8" w:space="0"/>
            </w:tcBorders>
            <w:vAlign w:val="center"/>
          </w:tcPr>
          <w:p>
            <w:pPr>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第四天</w:t>
            </w:r>
          </w:p>
        </w:tc>
        <w:tc>
          <w:tcPr>
            <w:tcW w:w="1097" w:type="dxa"/>
            <w:tcBorders>
              <w:top w:val="single" w:color="auto" w:sz="8" w:space="0"/>
              <w:left w:val="nil"/>
              <w:bottom w:val="single" w:color="auto" w:sz="8" w:space="0"/>
              <w:right w:val="single" w:color="auto" w:sz="8" w:space="0"/>
            </w:tcBorders>
            <w:vAlign w:val="center"/>
          </w:tcPr>
          <w:p>
            <w:pPr>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第六天</w:t>
            </w:r>
          </w:p>
        </w:tc>
        <w:tc>
          <w:tcPr>
            <w:tcW w:w="1096" w:type="dxa"/>
            <w:tcBorders>
              <w:top w:val="single" w:color="auto" w:sz="8" w:space="0"/>
              <w:left w:val="nil"/>
              <w:bottom w:val="single" w:color="auto" w:sz="8" w:space="0"/>
              <w:right w:val="single" w:color="auto" w:sz="8" w:space="0"/>
            </w:tcBorders>
            <w:vAlign w:val="center"/>
          </w:tcPr>
          <w:p>
            <w:pPr>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第八天</w:t>
            </w:r>
          </w:p>
        </w:tc>
        <w:tc>
          <w:tcPr>
            <w:tcW w:w="1059" w:type="dxa"/>
            <w:tcBorders>
              <w:top w:val="single" w:color="auto" w:sz="8" w:space="0"/>
              <w:left w:val="nil"/>
              <w:bottom w:val="single" w:color="auto" w:sz="8" w:space="0"/>
              <w:right w:val="single" w:color="auto" w:sz="8" w:space="0"/>
            </w:tcBorders>
            <w:vAlign w:val="center"/>
          </w:tcPr>
          <w:p>
            <w:pPr>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第十天</w:t>
            </w:r>
          </w:p>
        </w:tc>
        <w:tc>
          <w:tcPr>
            <w:tcW w:w="1500" w:type="dxa"/>
            <w:tcBorders>
              <w:top w:val="single" w:color="auto" w:sz="8" w:space="0"/>
              <w:left w:val="nil"/>
              <w:bottom w:val="single" w:color="auto" w:sz="8" w:space="0"/>
              <w:right w:val="single" w:color="auto" w:sz="8" w:space="0"/>
            </w:tcBorders>
            <w:vAlign w:val="center"/>
          </w:tcPr>
          <w:p>
            <w:pPr>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第十二天</w:t>
            </w:r>
          </w:p>
        </w:tc>
      </w:tr>
      <w:tr>
        <w:tblPrEx>
          <w:tblLayout w:type="fixed"/>
          <w:tblCellMar>
            <w:top w:w="0" w:type="dxa"/>
            <w:left w:w="108" w:type="dxa"/>
            <w:bottom w:w="0" w:type="dxa"/>
            <w:right w:w="108" w:type="dxa"/>
          </w:tblCellMar>
        </w:tblPrEx>
        <w:trPr>
          <w:trHeight w:val="334" w:hRule="atLeast"/>
        </w:trPr>
        <w:tc>
          <w:tcPr>
            <w:tcW w:w="2310" w:type="dxa"/>
            <w:tcBorders>
              <w:top w:val="nil"/>
              <w:left w:val="single" w:color="auto" w:sz="8" w:space="0"/>
              <w:bottom w:val="single" w:color="auto" w:sz="8" w:space="0"/>
              <w:right w:val="single" w:color="auto" w:sz="8" w:space="0"/>
            </w:tcBorders>
            <w:shd w:val="clear" w:color="auto" w:fill="auto"/>
            <w:vAlign w:val="center"/>
          </w:tcPr>
          <w:p>
            <w:pPr>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施工图设计</w:t>
            </w:r>
          </w:p>
        </w:tc>
        <w:tc>
          <w:tcPr>
            <w:tcW w:w="1066" w:type="dxa"/>
            <w:tcBorders>
              <w:top w:val="nil"/>
              <w:left w:val="nil"/>
              <w:bottom w:val="single" w:color="auto" w:sz="8" w:space="0"/>
              <w:right w:val="single" w:color="auto" w:sz="8" w:space="0"/>
            </w:tcBorders>
            <w:shd w:val="clear" w:color="000000" w:fill="7030A0"/>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7"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7"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6" w:type="dxa"/>
            <w:tcBorders>
              <w:top w:val="nil"/>
              <w:left w:val="nil"/>
              <w:bottom w:val="single" w:color="auto" w:sz="8" w:space="0"/>
              <w:right w:val="single" w:color="auto" w:sz="8" w:space="0"/>
            </w:tcBorders>
            <w:shd w:val="clear" w:color="auto" w:fill="FFFFF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59" w:type="dxa"/>
            <w:tcBorders>
              <w:top w:val="nil"/>
              <w:left w:val="nil"/>
              <w:bottom w:val="single" w:color="auto" w:sz="8" w:space="0"/>
              <w:right w:val="single" w:color="auto" w:sz="8" w:space="0"/>
            </w:tcBorders>
            <w:shd w:val="clear" w:color="auto" w:fill="FFFFF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500" w:type="dxa"/>
            <w:tcBorders>
              <w:top w:val="nil"/>
              <w:left w:val="nil"/>
              <w:bottom w:val="single" w:color="auto" w:sz="8" w:space="0"/>
              <w:right w:val="single" w:color="auto" w:sz="8" w:space="0"/>
            </w:tcBorders>
            <w:shd w:val="clear" w:color="auto" w:fill="FFFFF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369" w:hRule="atLeast"/>
        </w:trPr>
        <w:tc>
          <w:tcPr>
            <w:tcW w:w="2310" w:type="dxa"/>
            <w:tcBorders>
              <w:top w:val="nil"/>
              <w:left w:val="single" w:color="auto" w:sz="8" w:space="0"/>
              <w:bottom w:val="single" w:color="auto" w:sz="8" w:space="0"/>
              <w:right w:val="single" w:color="auto" w:sz="8" w:space="0"/>
            </w:tcBorders>
            <w:shd w:val="clear" w:color="auto" w:fill="auto"/>
            <w:vAlign w:val="center"/>
          </w:tcPr>
          <w:p>
            <w:pPr>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配件等材料采购</w:t>
            </w:r>
          </w:p>
        </w:tc>
        <w:tc>
          <w:tcPr>
            <w:tcW w:w="1066" w:type="dxa"/>
            <w:tcBorders>
              <w:top w:val="nil"/>
              <w:left w:val="nil"/>
              <w:bottom w:val="single" w:color="auto" w:sz="8" w:space="0"/>
              <w:right w:val="single" w:color="auto" w:sz="8" w:space="0"/>
            </w:tcBorders>
            <w:shd w:val="clear" w:color="000000" w:fill="FABF8F"/>
            <w:vAlign w:val="center"/>
          </w:tcPr>
          <w:p>
            <w:pPr>
              <w:widowControl/>
              <w:jc w:val="center"/>
              <w:rPr>
                <w:rFonts w:hint="eastAsia" w:ascii="宋体" w:hAnsi="宋体" w:cs="宋体"/>
                <w:color w:val="0070C0"/>
                <w:kern w:val="0"/>
                <w:sz w:val="24"/>
              </w:rPr>
            </w:pPr>
            <w:r>
              <w:rPr>
                <w:rFonts w:hint="eastAsia" w:ascii="宋体" w:hAnsi="宋体" w:cs="宋体"/>
                <w:color w:val="0070C0"/>
                <w:kern w:val="0"/>
                <w:sz w:val="24"/>
              </w:rPr>
              <w:t>　</w:t>
            </w:r>
          </w:p>
        </w:tc>
        <w:tc>
          <w:tcPr>
            <w:tcW w:w="1097" w:type="dxa"/>
            <w:tcBorders>
              <w:top w:val="nil"/>
              <w:left w:val="nil"/>
              <w:bottom w:val="single" w:color="auto" w:sz="8" w:space="0"/>
              <w:right w:val="single" w:color="auto" w:sz="8" w:space="0"/>
            </w:tcBorders>
            <w:shd w:val="clear" w:color="000000" w:fill="FABF8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7" w:type="dxa"/>
            <w:tcBorders>
              <w:top w:val="nil"/>
              <w:left w:val="nil"/>
              <w:bottom w:val="single" w:color="auto" w:sz="8" w:space="0"/>
              <w:right w:val="single" w:color="auto" w:sz="8" w:space="0"/>
            </w:tcBorders>
            <w:shd w:val="clear" w:color="000000" w:fill="FABF8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6" w:type="dxa"/>
            <w:tcBorders>
              <w:top w:val="nil"/>
              <w:left w:val="nil"/>
              <w:bottom w:val="single" w:color="auto" w:sz="8" w:space="0"/>
              <w:right w:val="single" w:color="auto" w:sz="8" w:space="0"/>
            </w:tcBorders>
            <w:shd w:val="clear" w:color="auto" w:fill="FFFFF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59" w:type="dxa"/>
            <w:tcBorders>
              <w:top w:val="nil"/>
              <w:left w:val="nil"/>
              <w:bottom w:val="single" w:color="auto" w:sz="8" w:space="0"/>
              <w:right w:val="single" w:color="auto" w:sz="8" w:space="0"/>
            </w:tcBorders>
            <w:shd w:val="clear" w:color="auto" w:fill="FFFFF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500" w:type="dxa"/>
            <w:tcBorders>
              <w:top w:val="nil"/>
              <w:left w:val="nil"/>
              <w:bottom w:val="single" w:color="auto" w:sz="8" w:space="0"/>
              <w:right w:val="single" w:color="auto" w:sz="8" w:space="0"/>
            </w:tcBorders>
            <w:shd w:val="clear" w:color="auto" w:fill="FFFFF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334" w:hRule="atLeast"/>
        </w:trPr>
        <w:tc>
          <w:tcPr>
            <w:tcW w:w="2310" w:type="dxa"/>
            <w:tcBorders>
              <w:top w:val="nil"/>
              <w:left w:val="single" w:color="auto" w:sz="8" w:space="0"/>
              <w:bottom w:val="single" w:color="auto" w:sz="8" w:space="0"/>
              <w:right w:val="single" w:color="auto" w:sz="8" w:space="0"/>
            </w:tcBorders>
            <w:shd w:val="clear" w:color="auto" w:fill="auto"/>
            <w:vAlign w:val="center"/>
          </w:tcPr>
          <w:p>
            <w:pPr>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设备定制</w:t>
            </w:r>
          </w:p>
        </w:tc>
        <w:tc>
          <w:tcPr>
            <w:tcW w:w="1066"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7" w:type="dxa"/>
            <w:tcBorders>
              <w:top w:val="nil"/>
              <w:left w:val="nil"/>
              <w:bottom w:val="single" w:color="auto" w:sz="8" w:space="0"/>
              <w:right w:val="single" w:color="auto" w:sz="8" w:space="0"/>
            </w:tcBorders>
            <w:shd w:val="clear" w:color="auto" w:fill="00B050"/>
            <w:vAlign w:val="center"/>
          </w:tcPr>
          <w:p>
            <w:pPr>
              <w:widowControl/>
              <w:jc w:val="center"/>
              <w:rPr>
                <w:rFonts w:hint="eastAsia" w:ascii="宋体" w:hAnsi="宋体" w:cs="宋体"/>
                <w:color w:val="0000FF"/>
                <w:kern w:val="0"/>
                <w:sz w:val="24"/>
              </w:rPr>
            </w:pPr>
            <w:r>
              <w:rPr>
                <w:rFonts w:hint="eastAsia" w:ascii="宋体" w:hAnsi="宋体" w:cs="宋体"/>
                <w:color w:val="0000FF"/>
                <w:kern w:val="0"/>
                <w:sz w:val="24"/>
              </w:rPr>
              <w:t>　</w:t>
            </w:r>
          </w:p>
        </w:tc>
        <w:tc>
          <w:tcPr>
            <w:tcW w:w="1097" w:type="dxa"/>
            <w:tcBorders>
              <w:top w:val="nil"/>
              <w:left w:val="nil"/>
              <w:bottom w:val="single" w:color="auto" w:sz="8" w:space="0"/>
              <w:right w:val="single" w:color="auto" w:sz="8" w:space="0"/>
            </w:tcBorders>
            <w:shd w:val="clear" w:color="auto" w:fill="00B050"/>
            <w:vAlign w:val="center"/>
          </w:tcPr>
          <w:p>
            <w:pPr>
              <w:widowControl/>
              <w:jc w:val="center"/>
              <w:rPr>
                <w:rFonts w:hint="eastAsia" w:ascii="宋体" w:hAnsi="宋体" w:cs="宋体"/>
                <w:color w:val="0000FF"/>
                <w:kern w:val="0"/>
                <w:sz w:val="24"/>
              </w:rPr>
            </w:pPr>
            <w:r>
              <w:rPr>
                <w:rFonts w:hint="eastAsia" w:ascii="宋体" w:hAnsi="宋体" w:cs="宋体"/>
                <w:color w:val="0000FF"/>
                <w:kern w:val="0"/>
                <w:sz w:val="24"/>
              </w:rPr>
              <w:t>　</w:t>
            </w:r>
          </w:p>
        </w:tc>
        <w:tc>
          <w:tcPr>
            <w:tcW w:w="1096" w:type="dxa"/>
            <w:tcBorders>
              <w:top w:val="nil"/>
              <w:left w:val="nil"/>
              <w:bottom w:val="single" w:color="auto" w:sz="8" w:space="0"/>
              <w:right w:val="single" w:color="auto" w:sz="8" w:space="0"/>
            </w:tcBorders>
            <w:shd w:val="clear" w:color="auto" w:fill="00B050"/>
            <w:vAlign w:val="center"/>
          </w:tcPr>
          <w:p>
            <w:pPr>
              <w:widowControl/>
              <w:jc w:val="center"/>
              <w:rPr>
                <w:rFonts w:hint="eastAsia" w:ascii="宋体" w:hAnsi="宋体" w:cs="宋体"/>
                <w:color w:val="0000FF"/>
                <w:kern w:val="0"/>
                <w:sz w:val="24"/>
              </w:rPr>
            </w:pPr>
            <w:r>
              <w:rPr>
                <w:rFonts w:hint="eastAsia" w:ascii="宋体" w:hAnsi="宋体" w:cs="宋体"/>
                <w:color w:val="0000FF"/>
                <w:kern w:val="0"/>
                <w:sz w:val="24"/>
              </w:rPr>
              <w:t>　</w:t>
            </w:r>
          </w:p>
        </w:tc>
        <w:tc>
          <w:tcPr>
            <w:tcW w:w="1059" w:type="dxa"/>
            <w:tcBorders>
              <w:top w:val="nil"/>
              <w:left w:val="nil"/>
              <w:bottom w:val="single" w:color="auto" w:sz="8" w:space="0"/>
              <w:right w:val="single" w:color="auto" w:sz="8" w:space="0"/>
            </w:tcBorders>
            <w:shd w:val="clear" w:color="auto" w:fill="00B050"/>
            <w:vAlign w:val="center"/>
          </w:tcPr>
          <w:p>
            <w:pPr>
              <w:widowControl/>
              <w:jc w:val="center"/>
              <w:rPr>
                <w:rFonts w:hint="eastAsia" w:ascii="宋体" w:hAnsi="宋体" w:cs="宋体"/>
                <w:color w:val="0000FF"/>
                <w:kern w:val="0"/>
                <w:sz w:val="24"/>
              </w:rPr>
            </w:pPr>
            <w:r>
              <w:rPr>
                <w:rFonts w:hint="eastAsia" w:ascii="宋体" w:hAnsi="宋体" w:cs="宋体"/>
                <w:color w:val="0000FF"/>
                <w:kern w:val="0"/>
                <w:sz w:val="24"/>
              </w:rPr>
              <w:t>　</w:t>
            </w:r>
          </w:p>
        </w:tc>
        <w:tc>
          <w:tcPr>
            <w:tcW w:w="1500" w:type="dxa"/>
            <w:tcBorders>
              <w:top w:val="nil"/>
              <w:left w:val="nil"/>
              <w:bottom w:val="single" w:color="auto" w:sz="8" w:space="0"/>
              <w:right w:val="single" w:color="auto" w:sz="8" w:space="0"/>
            </w:tcBorders>
            <w:shd w:val="clear" w:color="auto" w:fill="FFFFF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334" w:hRule="atLeast"/>
        </w:trPr>
        <w:tc>
          <w:tcPr>
            <w:tcW w:w="2310" w:type="dxa"/>
            <w:tcBorders>
              <w:top w:val="nil"/>
              <w:left w:val="single" w:color="auto" w:sz="8" w:space="0"/>
              <w:bottom w:val="single" w:color="auto" w:sz="8" w:space="0"/>
              <w:right w:val="single" w:color="auto" w:sz="8" w:space="0"/>
            </w:tcBorders>
            <w:shd w:val="clear" w:color="auto" w:fill="auto"/>
            <w:vAlign w:val="center"/>
          </w:tcPr>
          <w:p>
            <w:pPr>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设备安装</w:t>
            </w:r>
          </w:p>
        </w:tc>
        <w:tc>
          <w:tcPr>
            <w:tcW w:w="1066"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7"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7"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6"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59" w:type="dxa"/>
            <w:tcBorders>
              <w:top w:val="nil"/>
              <w:left w:val="nil"/>
              <w:bottom w:val="single" w:color="auto" w:sz="8" w:space="0"/>
              <w:right w:val="single" w:color="auto" w:sz="8" w:space="0"/>
            </w:tcBorders>
            <w:shd w:val="clear" w:color="000000" w:fill="FFFFF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500" w:type="dxa"/>
            <w:tcBorders>
              <w:top w:val="nil"/>
              <w:left w:val="nil"/>
              <w:bottom w:val="single" w:color="auto" w:sz="8" w:space="0"/>
              <w:right w:val="single" w:color="auto" w:sz="8" w:space="0"/>
            </w:tcBorders>
            <w:shd w:val="clear" w:color="auto" w:fill="00B0F0"/>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r>
      <w:tr>
        <w:tblPrEx>
          <w:tblLayout w:type="fixed"/>
          <w:tblCellMar>
            <w:top w:w="0" w:type="dxa"/>
            <w:left w:w="108" w:type="dxa"/>
            <w:bottom w:w="0" w:type="dxa"/>
            <w:right w:w="108" w:type="dxa"/>
          </w:tblCellMar>
        </w:tblPrEx>
        <w:trPr>
          <w:trHeight w:val="334" w:hRule="atLeast"/>
        </w:trPr>
        <w:tc>
          <w:tcPr>
            <w:tcW w:w="2310" w:type="dxa"/>
            <w:tcBorders>
              <w:top w:val="nil"/>
              <w:left w:val="single" w:color="auto" w:sz="8" w:space="0"/>
              <w:bottom w:val="single" w:color="auto" w:sz="8" w:space="0"/>
              <w:right w:val="single" w:color="auto" w:sz="8" w:space="0"/>
            </w:tcBorders>
            <w:shd w:val="clear" w:color="auto" w:fill="auto"/>
            <w:vAlign w:val="center"/>
          </w:tcPr>
          <w:p>
            <w:pPr>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工艺调试</w:t>
            </w:r>
          </w:p>
        </w:tc>
        <w:tc>
          <w:tcPr>
            <w:tcW w:w="1066"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7"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7"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6" w:type="dxa"/>
            <w:tcBorders>
              <w:top w:val="nil"/>
              <w:left w:val="nil"/>
              <w:bottom w:val="single" w:color="auto" w:sz="8" w:space="0"/>
              <w:right w:val="single" w:color="auto" w:sz="8" w:space="0"/>
            </w:tcBorders>
            <w:shd w:val="clear" w:color="auto" w:fill="FFFFF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59" w:type="dxa"/>
            <w:tcBorders>
              <w:top w:val="nil"/>
              <w:left w:val="nil"/>
              <w:bottom w:val="single" w:color="auto" w:sz="8" w:space="0"/>
              <w:right w:val="single" w:color="auto" w:sz="8" w:space="0"/>
            </w:tcBorders>
            <w:shd w:val="clear" w:color="auto" w:fill="FFFFF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500" w:type="dxa"/>
            <w:tcBorders>
              <w:top w:val="nil"/>
              <w:left w:val="nil"/>
              <w:bottom w:val="single" w:color="auto" w:sz="8" w:space="0"/>
              <w:right w:val="single" w:color="auto" w:sz="8" w:space="0"/>
            </w:tcBorders>
            <w:shd w:val="clear" w:color="auto" w:fill="FF0000"/>
            <w:vAlign w:val="center"/>
          </w:tcPr>
          <w:p>
            <w:pPr>
              <w:widowControl/>
              <w:jc w:val="center"/>
              <w:rPr>
                <w:rFonts w:hint="eastAsia" w:ascii="宋体" w:hAnsi="宋体" w:cs="宋体"/>
                <w:color w:val="FFFFFF"/>
                <w:kern w:val="0"/>
                <w:sz w:val="24"/>
              </w:rPr>
            </w:pPr>
            <w:r>
              <w:rPr>
                <w:rFonts w:hint="eastAsia" w:ascii="宋体" w:hAnsi="宋体" w:cs="宋体"/>
                <w:color w:val="FFFFFF"/>
                <w:kern w:val="0"/>
                <w:sz w:val="24"/>
              </w:rPr>
              <w:t>　</w:t>
            </w:r>
          </w:p>
        </w:tc>
      </w:tr>
      <w:tr>
        <w:tblPrEx>
          <w:tblLayout w:type="fixed"/>
          <w:tblCellMar>
            <w:top w:w="0" w:type="dxa"/>
            <w:left w:w="108" w:type="dxa"/>
            <w:bottom w:w="0" w:type="dxa"/>
            <w:right w:w="108" w:type="dxa"/>
          </w:tblCellMar>
        </w:tblPrEx>
        <w:trPr>
          <w:trHeight w:val="354" w:hRule="atLeast"/>
        </w:trPr>
        <w:tc>
          <w:tcPr>
            <w:tcW w:w="2310" w:type="dxa"/>
            <w:tcBorders>
              <w:top w:val="nil"/>
              <w:left w:val="single" w:color="auto" w:sz="8" w:space="0"/>
              <w:bottom w:val="single" w:color="auto" w:sz="8" w:space="0"/>
              <w:right w:val="single" w:color="auto" w:sz="8" w:space="0"/>
            </w:tcBorders>
            <w:shd w:val="clear" w:color="auto" w:fill="auto"/>
            <w:vAlign w:val="center"/>
          </w:tcPr>
          <w:p>
            <w:pPr>
              <w:jc w:val="cente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现场人员培训</w:t>
            </w:r>
          </w:p>
        </w:tc>
        <w:tc>
          <w:tcPr>
            <w:tcW w:w="1066"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7"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7" w:type="dxa"/>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96" w:type="dxa"/>
            <w:tcBorders>
              <w:top w:val="nil"/>
              <w:left w:val="nil"/>
              <w:bottom w:val="single" w:color="auto" w:sz="8" w:space="0"/>
              <w:right w:val="single" w:color="auto" w:sz="8" w:space="0"/>
            </w:tcBorders>
            <w:shd w:val="clear" w:color="auto" w:fill="FFFFF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059" w:type="dxa"/>
            <w:tcBorders>
              <w:top w:val="nil"/>
              <w:left w:val="nil"/>
              <w:bottom w:val="single" w:color="auto" w:sz="8" w:space="0"/>
              <w:right w:val="single" w:color="auto" w:sz="8" w:space="0"/>
            </w:tcBorders>
            <w:shd w:val="clear" w:color="auto" w:fill="FFFFFF"/>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　</w:t>
            </w:r>
          </w:p>
        </w:tc>
        <w:tc>
          <w:tcPr>
            <w:tcW w:w="1500" w:type="dxa"/>
            <w:tcBorders>
              <w:top w:val="nil"/>
              <w:left w:val="nil"/>
              <w:bottom w:val="single" w:color="auto" w:sz="8" w:space="0"/>
              <w:right w:val="single" w:color="auto" w:sz="8" w:space="0"/>
            </w:tcBorders>
            <w:shd w:val="clear" w:color="auto" w:fill="FFFF00"/>
            <w:vAlign w:val="center"/>
          </w:tcPr>
          <w:p>
            <w:pPr>
              <w:widowControl/>
              <w:jc w:val="center"/>
              <w:rPr>
                <w:rFonts w:hint="eastAsia" w:ascii="宋体" w:hAnsi="宋体" w:cs="宋体"/>
                <w:color w:val="FFFFFF"/>
                <w:kern w:val="0"/>
                <w:sz w:val="24"/>
              </w:rPr>
            </w:pPr>
            <w:r>
              <w:rPr>
                <w:rFonts w:hint="eastAsia" w:ascii="宋体" w:hAnsi="宋体" w:cs="宋体"/>
                <w:color w:val="FFFFFF"/>
                <w:kern w:val="0"/>
                <w:sz w:val="24"/>
              </w:rPr>
              <w:t>　</w:t>
            </w:r>
          </w:p>
        </w:tc>
      </w:tr>
    </w:tbl>
    <w:p>
      <w:pPr>
        <w:pStyle w:val="2"/>
        <w:jc w:val="center"/>
        <w:rPr>
          <w:rFonts w:hint="eastAsia"/>
          <w:lang w:val="en-US" w:eastAsia="zh-CN"/>
        </w:rPr>
      </w:pPr>
      <w:bookmarkStart w:id="176" w:name="_Toc28189"/>
      <w:bookmarkStart w:id="177" w:name="_Toc23903"/>
      <w:bookmarkStart w:id="178" w:name="_Toc29295"/>
      <w:bookmarkStart w:id="179" w:name="_Toc1175"/>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jc w:val="center"/>
        <w:rPr>
          <w:rFonts w:hint="eastAsia"/>
          <w:lang w:val="en-US" w:eastAsia="zh-CN"/>
        </w:rPr>
      </w:pPr>
      <w:bookmarkStart w:id="180" w:name="_Toc1578_WPSOffice_Level1"/>
      <w:bookmarkStart w:id="181" w:name="_Toc3001_WPSOffice_Level1"/>
      <w:bookmarkStart w:id="182" w:name="_Toc2745_WPSOffice_Level1"/>
      <w:r>
        <w:rPr>
          <w:rFonts w:hint="eastAsia"/>
          <w:lang w:val="en-US" w:eastAsia="zh-CN"/>
        </w:rPr>
        <w:t>第七章 质量保证</w:t>
      </w:r>
      <w:bookmarkEnd w:id="175"/>
      <w:bookmarkEnd w:id="176"/>
      <w:bookmarkEnd w:id="177"/>
      <w:bookmarkEnd w:id="178"/>
      <w:bookmarkEnd w:id="179"/>
      <w:bookmarkEnd w:id="180"/>
      <w:bookmarkEnd w:id="181"/>
      <w:bookmarkEnd w:id="182"/>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kern w:val="2"/>
          <w:sz w:val="24"/>
          <w:szCs w:val="24"/>
          <w:lang w:val="en-US" w:eastAsia="zh-CN" w:bidi="ar-SA"/>
        </w:rPr>
      </w:pPr>
      <w:r>
        <w:rPr>
          <w:rFonts w:hint="eastAsia" w:ascii="仿宋_GB2312" w:hAnsi="宋体" w:eastAsia="仿宋_GB2312"/>
          <w:sz w:val="24"/>
          <w:szCs w:val="28"/>
          <w:lang w:val="en-US" w:eastAsia="zh-CN"/>
        </w:rPr>
        <w:t xml:space="preserve">   </w:t>
      </w:r>
      <w:r>
        <w:rPr>
          <w:rFonts w:hint="eastAsia" w:ascii="仿宋" w:hAnsi="仿宋" w:eastAsia="仿宋" w:cs="仿宋"/>
          <w:b w:val="0"/>
          <w:bCs w:val="0"/>
          <w:kern w:val="2"/>
          <w:sz w:val="24"/>
          <w:szCs w:val="24"/>
          <w:lang w:val="en-US" w:eastAsia="zh-CN" w:bidi="ar-SA"/>
        </w:rPr>
        <w:t xml:space="preserve"> 1、乙方应保证合同设备是崭新的、未使用过的，以优良的材料制造，货物不应含有设计上和材料上的缺陷，并完全符合合同规定的质量规格和性能的要求。乙方应保证合同设备不会因设计、材料、工艺的原因而有任何故障和缺陷。</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 xml:space="preserve">    2、在合同设备安装、调试、接收试验期间，如发现因乙方原因造成的合同设备的缺陷或损坏，乙方应尽快免费更换和修复并补偿由此而来的甲方的一切损失。乙方应承担此项更换和修复工作的一切风险和费用。乙方应保证合同设备在接收试验时各项技术参数满足合同要求。</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 xml:space="preserve">    3、质量保证期（简称质保期）为甲方设备安装好起算十二个月，免费保修（对因甲方原因造成的故障，修理费用将由甲方承担）、终身维修。</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_GB2312" w:hAnsi="宋体" w:eastAsia="仿宋_GB2312"/>
          <w:sz w:val="24"/>
          <w:szCs w:val="28"/>
          <w:lang w:val="en-US" w:eastAsia="zh-CN"/>
        </w:rPr>
      </w:pPr>
      <w:r>
        <w:rPr>
          <w:rFonts w:hint="eastAsia" w:ascii="仿宋" w:hAnsi="仿宋" w:eastAsia="仿宋" w:cs="仿宋"/>
          <w:b w:val="0"/>
          <w:bCs w:val="0"/>
          <w:kern w:val="2"/>
          <w:sz w:val="24"/>
          <w:szCs w:val="24"/>
          <w:lang w:val="en-US" w:eastAsia="zh-CN" w:bidi="ar-SA"/>
        </w:rPr>
        <w:t xml:space="preserve">    4、在质保期内，因我公司所供设备、材料制造质量问题以及因非买方原因出现设备故障时，我公司在接甲方通知后，4 小时内响应，48 小时内赶到甲方现场，免费予以排除故障、修复或更换零部件，并支付因更换所发生的运输、保险、指导安装、检测等有关的全部费用。确保设备的正常运行。</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kern w:val="2"/>
          <w:sz w:val="24"/>
          <w:szCs w:val="24"/>
          <w:lang w:val="en-US" w:eastAsia="zh-CN" w:bidi="ar-SA"/>
        </w:rPr>
      </w:pPr>
      <w:r>
        <w:rPr>
          <w:rFonts w:hint="eastAsia" w:ascii="仿宋_GB2312" w:hAnsi="宋体" w:eastAsia="仿宋_GB2312"/>
          <w:sz w:val="24"/>
          <w:szCs w:val="28"/>
          <w:lang w:val="en-US" w:eastAsia="zh-CN"/>
        </w:rPr>
        <w:t xml:space="preserve">  </w:t>
      </w:r>
      <w:r>
        <w:rPr>
          <w:rFonts w:hint="eastAsia" w:ascii="仿宋" w:hAnsi="仿宋" w:eastAsia="仿宋" w:cs="仿宋"/>
          <w:b w:val="0"/>
          <w:bCs w:val="0"/>
          <w:kern w:val="2"/>
          <w:sz w:val="24"/>
          <w:szCs w:val="24"/>
          <w:lang w:val="en-US" w:eastAsia="zh-CN" w:bidi="ar-SA"/>
        </w:rPr>
        <w:t xml:space="preserve">  5、本公司将负责在在质保期内，因甲方使用不当原因出现设备故障时，我公司在接甲方通知后，在 4 小时内响应，72 小时内赶到买方现场，帮助排除故障、修复或更换零部件，需更换零部件时，酌情收取成本费。确保设备的正常运行。</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 xml:space="preserve">    6、本公司将负责在质保期满后，如设备出现故障，我公司在接甲方通知后，仍在4 小时内响应，72小时内赶到买方现场，帮助排除故障、修复或更换零部件，需更换零部件时，酌情收取成本费。确保设备的正常运行。</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kern w:val="0"/>
          <w:sz w:val="24"/>
          <w:szCs w:val="24"/>
          <w:lang w:val="en-US" w:eastAsia="zh-CN" w:bidi="ar"/>
        </w:rPr>
      </w:pPr>
      <w:r>
        <w:rPr>
          <w:rFonts w:hint="eastAsia" w:ascii="仿宋" w:hAnsi="仿宋" w:eastAsia="仿宋" w:cs="仿宋"/>
          <w:b w:val="0"/>
          <w:bCs w:val="0"/>
          <w:kern w:val="2"/>
          <w:sz w:val="24"/>
          <w:szCs w:val="24"/>
          <w:lang w:val="en-US" w:eastAsia="zh-CN" w:bidi="ar-SA"/>
        </w:rPr>
        <w:t xml:space="preserve">    7、在质保期内，如果因为乙方原因造成合同设备有缺陷或不能满足合同规定，乙方应尽快对合同设备进行修复并承担全部费用。如果乙方对索赔有异议，应在收到甲方索赔7日之内提出，双方进行协商。如乙方在此期限之前没有答复则被视为接受索赔要求。乙方应在接到索赔要求后15日内对合同设备进行修复或替换。替换和修复工作的期限，除甲方同意的期限外，不得超过30天。对于小的缺陷，在乙方同意的情况下，可以由甲方修复，费用由乙方负担。如果经更换还不能达到合同规定的要求，则按退货处理。</w:t>
      </w:r>
    </w:p>
    <w:p>
      <w:pPr>
        <w:rPr>
          <w:rFonts w:hint="eastAsia"/>
          <w:lang w:eastAsia="zh-CN"/>
        </w:rPr>
      </w:pPr>
    </w:p>
    <w:p/>
    <w:p/>
    <w:p/>
    <w:p/>
    <w:p/>
    <w:p>
      <w:bookmarkStart w:id="245" w:name="_GoBack"/>
      <w:bookmarkEnd w:id="245"/>
    </w:p>
    <w:p/>
    <w:p/>
    <w:p/>
    <w:p/>
    <w:p/>
    <w:p/>
    <w:p/>
    <w:p/>
    <w:p/>
    <w:p/>
    <w:p/>
    <w:p/>
    <w:p/>
    <w:p/>
    <w:p/>
    <w:p/>
    <w:p/>
    <w:p/>
    <w:p/>
    <w:p/>
    <w:p/>
    <w:p/>
    <w:p/>
    <w:p/>
    <w:p/>
    <w:p/>
    <w:p/>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pStyle w:val="2"/>
        <w:rPr>
          <w:rFonts w:hint="eastAsia"/>
          <w:lang w:eastAsia="zh-CN"/>
        </w:rPr>
      </w:pPr>
      <w:bookmarkStart w:id="183" w:name="_Toc25296_WPSOffice_Level1"/>
      <w:bookmarkStart w:id="184" w:name="_Toc9804_WPSOffice_Level1"/>
      <w:bookmarkStart w:id="185" w:name="_Toc23585_WPSOffice_Level1"/>
      <w:r>
        <w:rPr>
          <w:rFonts w:hint="eastAsia"/>
          <w:lang w:eastAsia="zh-CN"/>
        </w:rPr>
        <w:t>等离子废气净化器说明</w:t>
      </w:r>
      <w:bookmarkEnd w:id="183"/>
      <w:bookmarkEnd w:id="184"/>
      <w:bookmarkEnd w:id="185"/>
    </w:p>
    <w:p>
      <w:r>
        <w:drawing>
          <wp:inline distT="0" distB="0" distL="114300" distR="114300">
            <wp:extent cx="5309870" cy="7527290"/>
            <wp:effectExtent l="0" t="0" r="5080" b="1651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1"/>
                    <a:stretch>
                      <a:fillRect/>
                    </a:stretch>
                  </pic:blipFill>
                  <pic:spPr>
                    <a:xfrm>
                      <a:off x="0" y="0"/>
                      <a:ext cx="5309870" cy="7527290"/>
                    </a:xfrm>
                    <a:prstGeom prst="rect">
                      <a:avLst/>
                    </a:prstGeom>
                    <a:noFill/>
                    <a:ln w="9525">
                      <a:noFill/>
                    </a:ln>
                  </pic:spPr>
                </pic:pic>
              </a:graphicData>
            </a:graphic>
          </wp:inline>
        </w:drawing>
      </w:r>
    </w:p>
    <w:p>
      <w:r>
        <w:drawing>
          <wp:inline distT="0" distB="0" distL="114300" distR="114300">
            <wp:extent cx="5829300" cy="8334375"/>
            <wp:effectExtent l="0" t="0" r="0" b="952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2"/>
                    <a:stretch>
                      <a:fillRect/>
                    </a:stretch>
                  </pic:blipFill>
                  <pic:spPr>
                    <a:xfrm>
                      <a:off x="0" y="0"/>
                      <a:ext cx="5829300" cy="8334375"/>
                    </a:xfrm>
                    <a:prstGeom prst="rect">
                      <a:avLst/>
                    </a:prstGeom>
                    <a:noFill/>
                    <a:ln w="9525">
                      <a:noFill/>
                    </a:ln>
                  </pic:spPr>
                </pic:pic>
              </a:graphicData>
            </a:graphic>
          </wp:inline>
        </w:drawing>
      </w:r>
    </w:p>
    <w:p>
      <w:r>
        <w:drawing>
          <wp:inline distT="0" distB="0" distL="114300" distR="114300">
            <wp:extent cx="5449570" cy="7930515"/>
            <wp:effectExtent l="0" t="0" r="17780" b="1333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3"/>
                    <a:stretch>
                      <a:fillRect/>
                    </a:stretch>
                  </pic:blipFill>
                  <pic:spPr>
                    <a:xfrm>
                      <a:off x="0" y="0"/>
                      <a:ext cx="5449570" cy="7930515"/>
                    </a:xfrm>
                    <a:prstGeom prst="rect">
                      <a:avLst/>
                    </a:prstGeom>
                    <a:noFill/>
                    <a:ln w="9525">
                      <a:noFill/>
                    </a:ln>
                  </pic:spPr>
                </pic:pic>
              </a:graphicData>
            </a:graphic>
          </wp:inline>
        </w:drawing>
      </w:r>
    </w:p>
    <w:p/>
    <w:p/>
    <w:p>
      <w:pPr>
        <w:pStyle w:val="2"/>
        <w:rPr>
          <w:rFonts w:hint="eastAsia"/>
          <w:lang w:eastAsia="zh-CN"/>
        </w:rPr>
      </w:pPr>
      <w:bookmarkStart w:id="186" w:name="_Toc16714_WPSOffice_Level1"/>
      <w:bookmarkStart w:id="187" w:name="_Toc24801_WPSOffice_Level1"/>
      <w:bookmarkStart w:id="188" w:name="_Toc2397_WPSOffice_Level1"/>
      <w:r>
        <w:rPr>
          <w:rFonts w:hint="eastAsia"/>
          <w:lang w:eastAsia="zh-CN"/>
        </w:rPr>
        <w:t>活性炭净化器使用说明</w:t>
      </w:r>
      <w:bookmarkEnd w:id="186"/>
      <w:bookmarkEnd w:id="187"/>
      <w:bookmarkEnd w:id="188"/>
    </w:p>
    <w:p>
      <w:pPr>
        <w:widowControl/>
        <w:rPr>
          <w:rFonts w:hint="eastAsia" w:ascii="黑体" w:hAnsi="黑体" w:eastAsia="黑体"/>
          <w:sz w:val="72"/>
          <w:szCs w:val="72"/>
        </w:rPr>
      </w:pPr>
    </w:p>
    <w:p>
      <w:pPr>
        <w:jc w:val="center"/>
        <w:rPr>
          <w:rFonts w:hint="eastAsia" w:ascii="黑体" w:hAnsi="黑体" w:eastAsia="黑体"/>
          <w:kern w:val="0"/>
          <w:sz w:val="72"/>
          <w:szCs w:val="72"/>
        </w:rPr>
      </w:pPr>
      <w:bookmarkStart w:id="189" w:name="_Toc2119_WPSOffice_Level1"/>
      <w:bookmarkStart w:id="190" w:name="_Toc14590_WPSOffice_Level1"/>
      <w:r>
        <w:rPr>
          <w:rFonts w:hint="eastAsia" w:ascii="黑体" w:hAnsi="黑体" w:eastAsia="黑体"/>
          <w:kern w:val="0"/>
          <w:sz w:val="72"/>
          <w:szCs w:val="72"/>
        </w:rPr>
        <w:t>活 性 炭 净 化 器</w:t>
      </w:r>
      <w:bookmarkEnd w:id="189"/>
      <w:bookmarkEnd w:id="190"/>
    </w:p>
    <w:p>
      <w:pPr>
        <w:jc w:val="center"/>
        <w:rPr>
          <w:rFonts w:hint="eastAsia"/>
        </w:rPr>
      </w:pPr>
    </w:p>
    <w:p>
      <w:pPr>
        <w:widowControl/>
        <w:rPr>
          <w:rFonts w:hint="eastAsia" w:ascii="黑体" w:hAnsi="黑体" w:eastAsia="黑体"/>
          <w:sz w:val="52"/>
          <w:szCs w:val="52"/>
        </w:rPr>
      </w:pPr>
    </w:p>
    <w:p>
      <w:pPr>
        <w:widowControl/>
        <w:tabs>
          <w:tab w:val="center" w:pos="4213"/>
          <w:tab w:val="left" w:pos="6396"/>
        </w:tabs>
        <w:jc w:val="left"/>
        <w:rPr>
          <w:rFonts w:hint="eastAsia" w:ascii="黑体" w:hAnsi="黑体" w:eastAsia="黑体"/>
          <w:sz w:val="72"/>
          <w:szCs w:val="72"/>
          <w:lang w:eastAsia="zh-CN"/>
        </w:rPr>
      </w:pPr>
      <w:bookmarkStart w:id="191" w:name="_Toc3327_WPSOffice_Level1"/>
      <w:bookmarkStart w:id="192" w:name="_Toc28010_WPSOffice_Level1"/>
      <w:bookmarkStart w:id="193" w:name="_Toc28936_WPSOffice_Level1"/>
      <w:r>
        <w:rPr>
          <w:rFonts w:hint="eastAsia" w:ascii="黑体" w:hAnsi="黑体" w:eastAsia="黑体"/>
          <w:sz w:val="72"/>
          <w:szCs w:val="72"/>
          <w:lang w:eastAsia="zh-CN"/>
        </w:rPr>
        <w:tab/>
      </w:r>
      <w:r>
        <w:rPr>
          <w:rFonts w:hint="eastAsia" w:ascii="黑体" w:hAnsi="黑体" w:eastAsia="黑体"/>
          <w:sz w:val="72"/>
          <w:szCs w:val="72"/>
        </w:rPr>
        <w:t>使</w:t>
      </w:r>
      <w:bookmarkEnd w:id="191"/>
      <w:bookmarkEnd w:id="192"/>
      <w:bookmarkEnd w:id="193"/>
    </w:p>
    <w:p>
      <w:pPr>
        <w:widowControl/>
        <w:ind w:firstLine="3160" w:firstLineChars="439"/>
        <w:rPr>
          <w:rFonts w:hint="eastAsia" w:ascii="黑体" w:hAnsi="黑体" w:eastAsia="黑体"/>
          <w:sz w:val="72"/>
          <w:szCs w:val="72"/>
        </w:rPr>
      </w:pPr>
    </w:p>
    <w:p>
      <w:pPr>
        <w:widowControl/>
        <w:jc w:val="center"/>
        <w:rPr>
          <w:rFonts w:hint="eastAsia" w:ascii="黑体" w:hAnsi="黑体" w:eastAsia="黑体"/>
          <w:sz w:val="72"/>
          <w:szCs w:val="72"/>
        </w:rPr>
      </w:pPr>
      <w:bookmarkStart w:id="194" w:name="_Toc12031_WPSOffice_Level1"/>
      <w:bookmarkStart w:id="195" w:name="_Toc28744_WPSOffice_Level1"/>
      <w:bookmarkStart w:id="196" w:name="_Toc27989_WPSOffice_Level1"/>
      <w:r>
        <w:rPr>
          <w:rFonts w:hint="eastAsia" w:ascii="黑体" w:hAnsi="黑体" w:eastAsia="黑体"/>
          <w:sz w:val="72"/>
          <w:szCs w:val="72"/>
        </w:rPr>
        <w:t>用</w:t>
      </w:r>
      <w:bookmarkEnd w:id="194"/>
      <w:bookmarkEnd w:id="195"/>
      <w:bookmarkEnd w:id="196"/>
    </w:p>
    <w:p>
      <w:pPr>
        <w:widowControl/>
        <w:ind w:firstLine="3175" w:firstLineChars="441"/>
        <w:rPr>
          <w:rFonts w:hint="eastAsia" w:ascii="黑体" w:hAnsi="黑体" w:eastAsia="黑体"/>
          <w:sz w:val="72"/>
          <w:szCs w:val="72"/>
        </w:rPr>
      </w:pPr>
    </w:p>
    <w:p>
      <w:pPr>
        <w:widowControl/>
        <w:jc w:val="center"/>
        <w:rPr>
          <w:rFonts w:hint="eastAsia" w:ascii="黑体" w:hAnsi="黑体" w:eastAsia="黑体"/>
          <w:sz w:val="72"/>
          <w:szCs w:val="72"/>
        </w:rPr>
      </w:pPr>
      <w:bookmarkStart w:id="197" w:name="_Toc16633_WPSOffice_Level1"/>
      <w:bookmarkStart w:id="198" w:name="_Toc17409_WPSOffice_Level1"/>
      <w:bookmarkStart w:id="199" w:name="_Toc24480_WPSOffice_Level1"/>
      <w:r>
        <w:rPr>
          <w:rFonts w:hint="eastAsia" w:ascii="黑体" w:hAnsi="黑体" w:eastAsia="黑体"/>
          <w:sz w:val="72"/>
          <w:szCs w:val="72"/>
        </w:rPr>
        <w:t>说</w:t>
      </w:r>
      <w:bookmarkEnd w:id="197"/>
      <w:bookmarkEnd w:id="198"/>
      <w:bookmarkEnd w:id="199"/>
    </w:p>
    <w:p>
      <w:pPr>
        <w:widowControl/>
        <w:ind w:firstLine="3175" w:firstLineChars="441"/>
        <w:rPr>
          <w:rFonts w:hint="eastAsia" w:ascii="黑体" w:hAnsi="黑体" w:eastAsia="黑体"/>
          <w:sz w:val="72"/>
          <w:szCs w:val="72"/>
        </w:rPr>
      </w:pPr>
    </w:p>
    <w:p>
      <w:pPr>
        <w:widowControl/>
        <w:jc w:val="center"/>
        <w:rPr>
          <w:rFonts w:hint="eastAsia" w:ascii="黑体" w:hAnsi="黑体" w:eastAsia="黑体"/>
          <w:sz w:val="72"/>
          <w:szCs w:val="72"/>
        </w:rPr>
      </w:pPr>
      <w:bookmarkStart w:id="200" w:name="_Toc18893_WPSOffice_Level1"/>
      <w:bookmarkStart w:id="201" w:name="_Toc8332_WPSOffice_Level1"/>
      <w:bookmarkStart w:id="202" w:name="_Toc5594_WPSOffice_Level1"/>
      <w:r>
        <w:rPr>
          <w:rFonts w:hint="eastAsia" w:ascii="黑体" w:hAnsi="黑体" w:eastAsia="黑体"/>
          <w:sz w:val="72"/>
          <w:szCs w:val="72"/>
        </w:rPr>
        <w:t>明</w:t>
      </w:r>
      <w:bookmarkEnd w:id="200"/>
      <w:bookmarkEnd w:id="201"/>
      <w:bookmarkEnd w:id="202"/>
    </w:p>
    <w:p>
      <w:pPr>
        <w:widowControl/>
        <w:ind w:firstLine="3175" w:firstLineChars="441"/>
        <w:rPr>
          <w:rFonts w:hint="eastAsia" w:ascii="黑体" w:hAnsi="黑体" w:eastAsia="黑体"/>
          <w:sz w:val="72"/>
          <w:szCs w:val="72"/>
        </w:rPr>
      </w:pPr>
    </w:p>
    <w:p>
      <w:pPr>
        <w:widowControl/>
        <w:jc w:val="center"/>
        <w:rPr>
          <w:rFonts w:hint="eastAsia" w:ascii="黑体" w:hAnsi="黑体" w:eastAsia="黑体"/>
          <w:sz w:val="72"/>
          <w:szCs w:val="72"/>
        </w:rPr>
      </w:pPr>
      <w:bookmarkStart w:id="203" w:name="_Toc16121_WPSOffice_Level1"/>
      <w:bookmarkStart w:id="204" w:name="_Toc32183_WPSOffice_Level1"/>
      <w:bookmarkStart w:id="205" w:name="_Toc17349_WPSOffice_Level1"/>
      <w:r>
        <w:rPr>
          <w:rFonts w:hint="eastAsia" w:ascii="黑体" w:hAnsi="黑体" w:eastAsia="黑体"/>
          <w:sz w:val="72"/>
          <w:szCs w:val="72"/>
        </w:rPr>
        <w:t>书</w:t>
      </w:r>
      <w:bookmarkEnd w:id="203"/>
      <w:bookmarkEnd w:id="204"/>
      <w:bookmarkEnd w:id="205"/>
    </w:p>
    <w:p>
      <w:pPr>
        <w:widowControl/>
        <w:jc w:val="center"/>
        <w:rPr>
          <w:rFonts w:hint="eastAsia" w:ascii="黑体" w:hAnsi="黑体" w:eastAsia="黑体"/>
          <w:sz w:val="72"/>
          <w:szCs w:val="72"/>
        </w:rPr>
      </w:pPr>
    </w:p>
    <w:p>
      <w:pPr>
        <w:widowControl/>
        <w:jc w:val="center"/>
        <w:rPr>
          <w:rFonts w:hint="eastAsia" w:ascii="黑体" w:hAnsi="黑体" w:eastAsia="黑体"/>
          <w:spacing w:val="60"/>
          <w:kern w:val="0"/>
          <w:sz w:val="52"/>
          <w:szCs w:val="52"/>
        </w:rPr>
      </w:pPr>
      <w:bookmarkStart w:id="206" w:name="_Toc3241_WPSOffice_Level1"/>
      <w:bookmarkStart w:id="207" w:name="_Toc24570_WPSOffice_Level1"/>
      <w:bookmarkStart w:id="208" w:name="_Toc8300_WPSOffice_Level1"/>
      <w:r>
        <w:rPr>
          <w:rFonts w:hint="eastAsia" w:ascii="黑体" w:hAnsi="黑体" w:eastAsia="黑体"/>
          <w:spacing w:val="60"/>
          <w:kern w:val="0"/>
          <w:sz w:val="52"/>
          <w:szCs w:val="52"/>
        </w:rPr>
        <w:t>绍兴顶研环保设备有限公司</w:t>
      </w:r>
      <w:bookmarkEnd w:id="206"/>
      <w:bookmarkEnd w:id="207"/>
      <w:bookmarkEnd w:id="208"/>
    </w:p>
    <w:p>
      <w:pPr>
        <w:pStyle w:val="16"/>
        <w:spacing w:line="360" w:lineRule="auto"/>
        <w:ind w:firstLine="240" w:firstLineChars="100"/>
        <w:rPr>
          <w:rFonts w:hint="eastAsia" w:ascii="Times New Roman" w:hAnsi="Times New Roman"/>
          <w:sz w:val="24"/>
          <w:szCs w:val="24"/>
        </w:rPr>
      </w:pPr>
    </w:p>
    <w:p>
      <w:pPr>
        <w:pStyle w:val="16"/>
        <w:spacing w:line="360" w:lineRule="auto"/>
        <w:ind w:firstLine="0" w:firstLineChars="0"/>
        <w:rPr>
          <w:rFonts w:hint="eastAsia" w:ascii="Times New Roman" w:hAnsi="Times New Roman"/>
          <w:sz w:val="36"/>
          <w:szCs w:val="36"/>
        </w:rPr>
      </w:pPr>
    </w:p>
    <w:p>
      <w:pPr>
        <w:pStyle w:val="16"/>
        <w:spacing w:line="360" w:lineRule="auto"/>
        <w:ind w:firstLine="0" w:firstLineChars="0"/>
        <w:rPr>
          <w:rFonts w:hint="eastAsia" w:ascii="Times New Roman" w:hAnsi="Times New Roman"/>
          <w:sz w:val="36"/>
          <w:szCs w:val="36"/>
        </w:rPr>
      </w:pPr>
      <w:r>
        <w:rPr>
          <w:rFonts w:hint="eastAsia" w:ascii="Times New Roman" w:hAnsi="Times New Roman"/>
          <w:sz w:val="36"/>
          <w:szCs w:val="36"/>
        </w:rPr>
        <w:t>尊敬的用户：</w:t>
      </w:r>
    </w:p>
    <w:p>
      <w:pPr>
        <w:pStyle w:val="16"/>
        <w:spacing w:line="360" w:lineRule="auto"/>
        <w:ind w:firstLine="0" w:firstLineChars="0"/>
        <w:rPr>
          <w:rFonts w:hint="eastAsia" w:ascii="Times New Roman" w:hAnsi="Times New Roman"/>
          <w:sz w:val="36"/>
          <w:szCs w:val="36"/>
        </w:rPr>
      </w:pPr>
      <w:r>
        <w:rPr>
          <w:rFonts w:hint="eastAsia" w:ascii="Times New Roman" w:hAnsi="Times New Roman"/>
          <w:sz w:val="36"/>
          <w:szCs w:val="36"/>
        </w:rPr>
        <w:t xml:space="preserve">    感谢你使用本公司生产的活性炭净化器，在你使用前请详细阅读该使用说明书，以便正确使用本公司的产品，充分发挥该产品的功能。为用户提供更好的服务。请妥善保存使用说明书，以备日后查阅。因使用不当造成的人身和财产损失以及影响使用效果等本公司不承担任何责任。</w:t>
      </w:r>
    </w:p>
    <w:p>
      <w:pPr>
        <w:pStyle w:val="16"/>
        <w:spacing w:line="360" w:lineRule="auto"/>
        <w:ind w:firstLine="442" w:firstLineChars="100"/>
        <w:jc w:val="center"/>
        <w:rPr>
          <w:rFonts w:hint="eastAsia"/>
          <w:b/>
          <w:sz w:val="44"/>
          <w:szCs w:val="44"/>
        </w:rPr>
      </w:pPr>
    </w:p>
    <w:p>
      <w:pPr>
        <w:pStyle w:val="16"/>
        <w:spacing w:line="360" w:lineRule="auto"/>
        <w:ind w:firstLine="442" w:firstLineChars="100"/>
        <w:jc w:val="center"/>
        <w:rPr>
          <w:rFonts w:hint="eastAsia"/>
          <w:b/>
          <w:sz w:val="44"/>
          <w:szCs w:val="44"/>
        </w:rPr>
      </w:pPr>
    </w:p>
    <w:p>
      <w:pPr>
        <w:pStyle w:val="16"/>
        <w:spacing w:line="360" w:lineRule="auto"/>
        <w:ind w:firstLine="442" w:firstLineChars="100"/>
        <w:jc w:val="center"/>
        <w:rPr>
          <w:rFonts w:hint="eastAsia"/>
          <w:b/>
          <w:sz w:val="44"/>
          <w:szCs w:val="44"/>
        </w:rPr>
      </w:pPr>
    </w:p>
    <w:p>
      <w:pPr>
        <w:pStyle w:val="16"/>
        <w:spacing w:line="360" w:lineRule="auto"/>
        <w:ind w:firstLine="442" w:firstLineChars="100"/>
        <w:jc w:val="center"/>
        <w:rPr>
          <w:rFonts w:hint="eastAsia"/>
          <w:b/>
          <w:sz w:val="44"/>
          <w:szCs w:val="44"/>
        </w:rPr>
      </w:pPr>
    </w:p>
    <w:p>
      <w:pPr>
        <w:pStyle w:val="16"/>
        <w:spacing w:line="360" w:lineRule="auto"/>
        <w:ind w:firstLine="442" w:firstLineChars="100"/>
        <w:jc w:val="center"/>
        <w:rPr>
          <w:rFonts w:hint="eastAsia"/>
          <w:b/>
          <w:sz w:val="44"/>
          <w:szCs w:val="44"/>
        </w:rPr>
      </w:pPr>
    </w:p>
    <w:p>
      <w:pPr>
        <w:pStyle w:val="16"/>
        <w:spacing w:line="360" w:lineRule="auto"/>
        <w:ind w:firstLine="442" w:firstLineChars="100"/>
        <w:jc w:val="center"/>
        <w:rPr>
          <w:rFonts w:hint="eastAsia"/>
          <w:b/>
          <w:sz w:val="44"/>
          <w:szCs w:val="44"/>
        </w:rPr>
      </w:pPr>
    </w:p>
    <w:p>
      <w:pPr>
        <w:pStyle w:val="16"/>
        <w:spacing w:line="360" w:lineRule="auto"/>
        <w:ind w:firstLine="442" w:firstLineChars="100"/>
        <w:jc w:val="center"/>
        <w:rPr>
          <w:rFonts w:hint="eastAsia"/>
          <w:b/>
          <w:sz w:val="44"/>
          <w:szCs w:val="44"/>
        </w:rPr>
      </w:pPr>
    </w:p>
    <w:p>
      <w:pPr>
        <w:pStyle w:val="16"/>
        <w:spacing w:line="360" w:lineRule="auto"/>
        <w:ind w:firstLine="442" w:firstLineChars="100"/>
        <w:jc w:val="center"/>
        <w:rPr>
          <w:rFonts w:hint="eastAsia"/>
          <w:b/>
          <w:sz w:val="44"/>
          <w:szCs w:val="44"/>
        </w:rPr>
      </w:pPr>
    </w:p>
    <w:p>
      <w:pPr>
        <w:pStyle w:val="16"/>
        <w:spacing w:line="360" w:lineRule="auto"/>
        <w:ind w:left="0" w:leftChars="0" w:firstLine="0" w:firstLineChars="0"/>
        <w:jc w:val="both"/>
        <w:rPr>
          <w:rFonts w:hint="eastAsia"/>
          <w:b/>
          <w:sz w:val="44"/>
          <w:szCs w:val="44"/>
        </w:rPr>
      </w:pPr>
    </w:p>
    <w:p>
      <w:pPr>
        <w:pStyle w:val="16"/>
        <w:spacing w:line="360" w:lineRule="auto"/>
        <w:ind w:firstLine="442" w:firstLineChars="100"/>
        <w:jc w:val="center"/>
        <w:rPr>
          <w:rFonts w:hint="eastAsia"/>
          <w:b/>
          <w:sz w:val="44"/>
          <w:szCs w:val="44"/>
        </w:rPr>
        <w:sectPr>
          <w:pgSz w:w="11906" w:h="16838"/>
          <w:pgMar w:top="1440" w:right="1800" w:bottom="1440" w:left="1800" w:header="851" w:footer="992" w:gutter="0"/>
          <w:pgNumType w:fmt="decimal"/>
          <w:cols w:space="425" w:num="1"/>
          <w:docGrid w:type="lines" w:linePitch="312" w:charSpace="0"/>
        </w:sectPr>
      </w:pPr>
    </w:p>
    <w:p>
      <w:pPr>
        <w:pStyle w:val="16"/>
        <w:spacing w:line="360" w:lineRule="auto"/>
        <w:ind w:firstLine="442" w:firstLineChars="100"/>
        <w:jc w:val="center"/>
        <w:rPr>
          <w:rFonts w:hint="eastAsia"/>
          <w:b/>
          <w:sz w:val="44"/>
          <w:szCs w:val="44"/>
        </w:rPr>
      </w:pPr>
    </w:p>
    <w:p>
      <w:pPr>
        <w:pStyle w:val="16"/>
        <w:spacing w:line="360" w:lineRule="auto"/>
        <w:ind w:firstLine="0" w:firstLineChars="0"/>
        <w:jc w:val="center"/>
        <w:rPr>
          <w:rFonts w:hint="eastAsia"/>
          <w:b/>
          <w:sz w:val="72"/>
          <w:szCs w:val="72"/>
        </w:rPr>
      </w:pPr>
      <w:r>
        <w:rPr>
          <w:rFonts w:hint="eastAsia"/>
          <w:b/>
          <w:sz w:val="72"/>
          <w:szCs w:val="72"/>
        </w:rPr>
        <w:t>目  录</w:t>
      </w:r>
    </w:p>
    <w:p>
      <w:pPr>
        <w:pStyle w:val="16"/>
        <w:spacing w:line="360" w:lineRule="auto"/>
        <w:ind w:firstLine="442" w:firstLineChars="100"/>
        <w:jc w:val="center"/>
        <w:rPr>
          <w:rFonts w:hint="eastAsia"/>
          <w:b/>
          <w:sz w:val="44"/>
          <w:szCs w:val="44"/>
        </w:rPr>
      </w:pPr>
    </w:p>
    <w:p>
      <w:pPr>
        <w:pStyle w:val="16"/>
        <w:numPr>
          <w:ilvl w:val="0"/>
          <w:numId w:val="3"/>
        </w:numPr>
        <w:spacing w:line="940" w:lineRule="exact"/>
        <w:ind w:firstLineChars="0"/>
        <w:rPr>
          <w:rFonts w:hint="eastAsia"/>
          <w:b/>
          <w:sz w:val="36"/>
          <w:szCs w:val="36"/>
        </w:rPr>
      </w:pPr>
      <w:bookmarkStart w:id="209" w:name="_Toc18286_WPSOffice_Level1"/>
      <w:bookmarkStart w:id="210" w:name="_Toc5464_WPSOffice_Level1"/>
      <w:bookmarkStart w:id="211" w:name="_Toc3763_WPSOffice_Level1"/>
      <w:r>
        <w:rPr>
          <w:rFonts w:hint="eastAsia"/>
          <w:b/>
          <w:sz w:val="36"/>
          <w:szCs w:val="36"/>
        </w:rPr>
        <w:t>产品概述</w:t>
      </w:r>
      <w:bookmarkEnd w:id="209"/>
      <w:bookmarkEnd w:id="210"/>
      <w:bookmarkEnd w:id="211"/>
    </w:p>
    <w:p>
      <w:pPr>
        <w:pStyle w:val="16"/>
        <w:numPr>
          <w:ilvl w:val="0"/>
          <w:numId w:val="3"/>
        </w:numPr>
        <w:spacing w:line="940" w:lineRule="exact"/>
        <w:ind w:firstLineChars="0"/>
        <w:rPr>
          <w:rFonts w:hint="eastAsia"/>
          <w:b/>
          <w:sz w:val="36"/>
          <w:szCs w:val="36"/>
        </w:rPr>
      </w:pPr>
      <w:bookmarkStart w:id="212" w:name="_Toc26965_WPSOffice_Level1"/>
      <w:bookmarkStart w:id="213" w:name="_Toc17536_WPSOffice_Level1"/>
      <w:bookmarkStart w:id="214" w:name="_Toc20702_WPSOffice_Level1"/>
      <w:r>
        <w:rPr>
          <w:rFonts w:hint="eastAsia"/>
          <w:b/>
          <w:sz w:val="36"/>
          <w:szCs w:val="36"/>
        </w:rPr>
        <w:t>工作原理</w:t>
      </w:r>
      <w:bookmarkEnd w:id="212"/>
      <w:bookmarkEnd w:id="213"/>
      <w:bookmarkEnd w:id="214"/>
    </w:p>
    <w:p>
      <w:pPr>
        <w:pStyle w:val="16"/>
        <w:numPr>
          <w:ilvl w:val="0"/>
          <w:numId w:val="3"/>
        </w:numPr>
        <w:spacing w:line="940" w:lineRule="exact"/>
        <w:ind w:firstLineChars="0"/>
        <w:rPr>
          <w:rFonts w:hint="eastAsia"/>
          <w:b/>
          <w:sz w:val="36"/>
          <w:szCs w:val="36"/>
        </w:rPr>
      </w:pPr>
      <w:bookmarkStart w:id="215" w:name="_Toc5105_WPSOffice_Level1"/>
      <w:bookmarkStart w:id="216" w:name="_Toc24118_WPSOffice_Level1"/>
      <w:bookmarkStart w:id="217" w:name="_Toc22092_WPSOffice_Level1"/>
      <w:r>
        <w:rPr>
          <w:rFonts w:hint="eastAsia"/>
          <w:b/>
          <w:sz w:val="36"/>
          <w:szCs w:val="36"/>
        </w:rPr>
        <w:t>安装维护</w:t>
      </w:r>
      <w:bookmarkEnd w:id="215"/>
      <w:bookmarkEnd w:id="216"/>
      <w:bookmarkEnd w:id="217"/>
    </w:p>
    <w:p>
      <w:pPr>
        <w:pStyle w:val="16"/>
        <w:numPr>
          <w:ilvl w:val="0"/>
          <w:numId w:val="3"/>
        </w:numPr>
        <w:spacing w:line="940" w:lineRule="exact"/>
        <w:ind w:firstLineChars="0"/>
        <w:rPr>
          <w:rFonts w:hint="eastAsia"/>
          <w:b/>
          <w:sz w:val="36"/>
          <w:szCs w:val="36"/>
        </w:rPr>
      </w:pPr>
      <w:bookmarkStart w:id="218" w:name="_Toc3673_WPSOffice_Level1"/>
      <w:bookmarkStart w:id="219" w:name="_Toc7351_WPSOffice_Level1"/>
      <w:bookmarkStart w:id="220" w:name="_Toc18785_WPSOffice_Level1"/>
      <w:r>
        <w:rPr>
          <w:rFonts w:hint="eastAsia"/>
          <w:b/>
          <w:sz w:val="36"/>
          <w:szCs w:val="36"/>
        </w:rPr>
        <w:t>注意事项</w:t>
      </w:r>
      <w:bookmarkEnd w:id="218"/>
      <w:bookmarkEnd w:id="219"/>
      <w:bookmarkEnd w:id="220"/>
    </w:p>
    <w:p>
      <w:pPr>
        <w:pStyle w:val="16"/>
        <w:numPr>
          <w:ilvl w:val="0"/>
          <w:numId w:val="3"/>
        </w:numPr>
        <w:spacing w:line="940" w:lineRule="exact"/>
        <w:ind w:firstLineChars="0"/>
        <w:rPr>
          <w:rFonts w:hint="eastAsia"/>
          <w:b/>
          <w:sz w:val="36"/>
          <w:szCs w:val="36"/>
        </w:rPr>
      </w:pPr>
      <w:bookmarkStart w:id="221" w:name="_Toc28379_WPSOffice_Level1"/>
      <w:bookmarkStart w:id="222" w:name="_Toc31415_WPSOffice_Level1"/>
      <w:bookmarkStart w:id="223" w:name="_Toc28786_WPSOffice_Level1"/>
      <w:r>
        <w:rPr>
          <w:rFonts w:hint="eastAsia"/>
          <w:b/>
          <w:sz w:val="36"/>
          <w:szCs w:val="36"/>
        </w:rPr>
        <w:t>维护保养</w:t>
      </w:r>
      <w:bookmarkEnd w:id="221"/>
      <w:bookmarkEnd w:id="222"/>
      <w:bookmarkEnd w:id="223"/>
    </w:p>
    <w:p>
      <w:pPr>
        <w:pStyle w:val="16"/>
        <w:numPr>
          <w:ilvl w:val="0"/>
          <w:numId w:val="3"/>
        </w:numPr>
        <w:spacing w:line="940" w:lineRule="exact"/>
        <w:ind w:firstLineChars="0"/>
        <w:rPr>
          <w:rFonts w:hint="eastAsia"/>
          <w:b/>
          <w:sz w:val="36"/>
          <w:szCs w:val="36"/>
        </w:rPr>
      </w:pPr>
      <w:bookmarkStart w:id="224" w:name="_Toc25305_WPSOffice_Level1"/>
      <w:bookmarkStart w:id="225" w:name="_Toc7901_WPSOffice_Level1"/>
      <w:bookmarkStart w:id="226" w:name="_Toc6910_WPSOffice_Level1"/>
      <w:r>
        <w:rPr>
          <w:rFonts w:hint="eastAsia"/>
          <w:b/>
          <w:sz w:val="36"/>
          <w:szCs w:val="36"/>
        </w:rPr>
        <w:t>故障排除</w:t>
      </w:r>
      <w:bookmarkEnd w:id="224"/>
      <w:bookmarkEnd w:id="225"/>
      <w:bookmarkEnd w:id="226"/>
    </w:p>
    <w:p>
      <w:pPr>
        <w:pStyle w:val="16"/>
        <w:spacing w:line="940" w:lineRule="exact"/>
        <w:ind w:firstLine="0" w:firstLineChars="0"/>
        <w:rPr>
          <w:rFonts w:hint="eastAsia"/>
          <w:b/>
          <w:sz w:val="28"/>
          <w:szCs w:val="28"/>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both"/>
        <w:rPr>
          <w:rFonts w:hint="eastAsia" w:ascii="宋体" w:hAnsi="宋体"/>
          <w:b/>
          <w:sz w:val="36"/>
          <w:szCs w:val="36"/>
        </w:rPr>
        <w:sectPr>
          <w:footerReference r:id="rId6" w:type="default"/>
          <w:pgSz w:w="11906" w:h="16838"/>
          <w:pgMar w:top="1440" w:right="1800" w:bottom="1440" w:left="1800" w:header="851" w:footer="992" w:gutter="0"/>
          <w:pgNumType w:fmt="decimal"/>
          <w:cols w:space="720" w:num="1"/>
          <w:docGrid w:type="lines" w:linePitch="312" w:charSpace="0"/>
        </w:sectPr>
      </w:pPr>
    </w:p>
    <w:p>
      <w:pPr>
        <w:jc w:val="center"/>
        <w:rPr>
          <w:rFonts w:hint="eastAsia" w:ascii="宋体" w:hAnsi="宋体"/>
          <w:b/>
          <w:sz w:val="36"/>
          <w:szCs w:val="36"/>
        </w:rPr>
      </w:pPr>
    </w:p>
    <w:p>
      <w:pPr>
        <w:adjustRightInd w:val="0"/>
        <w:snapToGrid w:val="0"/>
        <w:spacing w:line="440" w:lineRule="exact"/>
        <w:jc w:val="center"/>
        <w:rPr>
          <w:rFonts w:hint="eastAsia" w:ascii="宋体" w:hAnsi="宋体"/>
          <w:b/>
          <w:sz w:val="44"/>
          <w:szCs w:val="44"/>
        </w:rPr>
      </w:pPr>
      <w:bookmarkStart w:id="227" w:name="_Toc30786_WPSOffice_Level1"/>
      <w:bookmarkStart w:id="228" w:name="_Toc6118_WPSOffice_Level1"/>
      <w:bookmarkStart w:id="229" w:name="_Toc6671_WPSOffice_Level1"/>
      <w:r>
        <w:rPr>
          <w:rFonts w:hint="eastAsia" w:ascii="宋体" w:hAnsi="宋体"/>
          <w:b/>
          <w:sz w:val="44"/>
          <w:szCs w:val="44"/>
        </w:rPr>
        <w:t>一、产品概述</w:t>
      </w:r>
      <w:bookmarkEnd w:id="227"/>
      <w:bookmarkEnd w:id="228"/>
      <w:bookmarkEnd w:id="229"/>
    </w:p>
    <w:p>
      <w:pPr>
        <w:spacing w:line="440" w:lineRule="exact"/>
        <w:ind w:firstLine="720" w:firstLineChars="200"/>
        <w:rPr>
          <w:rFonts w:hint="eastAsia"/>
          <w:sz w:val="36"/>
          <w:szCs w:val="36"/>
        </w:rPr>
      </w:pPr>
    </w:p>
    <w:p>
      <w:pPr>
        <w:spacing w:line="440" w:lineRule="exact"/>
        <w:ind w:firstLine="720" w:firstLineChars="200"/>
        <w:rPr>
          <w:rFonts w:hint="eastAsia"/>
          <w:sz w:val="36"/>
          <w:szCs w:val="36"/>
        </w:rPr>
      </w:pPr>
      <w:r>
        <w:rPr>
          <w:rFonts w:hint="eastAsia"/>
          <w:sz w:val="36"/>
          <w:szCs w:val="36"/>
        </w:rPr>
        <w:t>活性炭净化器主要应用于有机废气的处理，活性炭具有很细小的空-毛细管，并有超强的吸附能力，活性炭表面积很大且能与空气充分接触并被毛细管所吸附。利用活性炭净化器除废气及异味，从而达到排放要求。活性炭净化器主要是吸附器，内含活性炭吸附层等部件。本装置采用碳钢板制作而成。操作维护方便等优点：本装置适用于家具、五金建材、医药化工等行业的有机废气治理。</w:t>
      </w: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adjustRightInd w:val="0"/>
        <w:snapToGrid w:val="0"/>
        <w:spacing w:line="440" w:lineRule="exact"/>
        <w:jc w:val="center"/>
        <w:rPr>
          <w:rFonts w:hint="eastAsia" w:ascii="宋体" w:hAnsi="宋体"/>
          <w:b/>
          <w:sz w:val="44"/>
          <w:szCs w:val="44"/>
        </w:rPr>
      </w:pPr>
      <w:bookmarkStart w:id="230" w:name="_Toc3593_WPSOffice_Level1"/>
      <w:bookmarkStart w:id="231" w:name="_Toc23691_WPSOffice_Level1"/>
      <w:bookmarkStart w:id="232" w:name="_Toc18161_WPSOffice_Level1"/>
      <w:r>
        <w:rPr>
          <w:rFonts w:hint="eastAsia" w:ascii="宋体" w:hAnsi="宋体"/>
          <w:b/>
          <w:sz w:val="44"/>
          <w:szCs w:val="44"/>
        </w:rPr>
        <w:t>二、工作原理</w:t>
      </w:r>
      <w:bookmarkEnd w:id="230"/>
      <w:bookmarkEnd w:id="231"/>
      <w:bookmarkEnd w:id="232"/>
    </w:p>
    <w:p>
      <w:pPr>
        <w:adjustRightInd w:val="0"/>
        <w:snapToGrid w:val="0"/>
        <w:spacing w:line="440" w:lineRule="exact"/>
        <w:ind w:firstLine="480" w:firstLineChars="200"/>
        <w:rPr>
          <w:rFonts w:hint="eastAsia" w:ascii="宋体" w:hAnsi="宋体"/>
          <w:sz w:val="24"/>
        </w:rPr>
      </w:pPr>
    </w:p>
    <w:p>
      <w:pPr>
        <w:spacing w:line="440" w:lineRule="exact"/>
        <w:ind w:firstLine="720" w:firstLineChars="200"/>
        <w:rPr>
          <w:rFonts w:hint="eastAsia"/>
          <w:sz w:val="36"/>
          <w:szCs w:val="36"/>
        </w:rPr>
      </w:pPr>
      <w:r>
        <w:rPr>
          <w:rFonts w:hint="eastAsia"/>
          <w:sz w:val="36"/>
          <w:szCs w:val="36"/>
        </w:rPr>
        <w:t>活性炭的性能指标可分为物理性能指标、化学性能指标、吸附性能指标，三种性能。活性炭的吸附可分为物理吸附和化学吸附。物理吸附主要发生在活性炭去除液相和气相中杂质的过程中。活性炭的多孔结构提供了大量的表面积，从而使其非常容易达到吸收收集杂质的目的。就象磁力一样，所有的分子之间都具有相互引力。正因为如此，活性炭孔壁上的大量的分子可以产生强大的引力，从而达到将介质中的杂质吸引到孔径中的目的。</w:t>
      </w:r>
    </w:p>
    <w:p>
      <w:pPr>
        <w:spacing w:line="440" w:lineRule="exact"/>
        <w:ind w:firstLine="720" w:firstLineChars="200"/>
        <w:rPr>
          <w:rFonts w:hint="eastAsia"/>
          <w:sz w:val="36"/>
          <w:szCs w:val="36"/>
        </w:rPr>
      </w:pPr>
      <w:r>
        <w:rPr>
          <w:rFonts w:hint="eastAsia"/>
          <w:sz w:val="36"/>
          <w:szCs w:val="36"/>
        </w:rPr>
        <w:t>必须指出的是，这些被吸附的杂质的分子直径必须是要小于活性炭的孔径，这样才可可能保证杂质被吸收到孔径中。这也就是为什么我们通过不断地改变原材料和活化条件来创造具有不同的孔径结构的活性炭，从而适用于各种杂质吸收的应用。除了物理吸附之外，化学反应也经常发生在活性炭的表面。活性炭不仅含碳，而且在其表面含有少量的化学结合、功能团形式的氧和氢，例如羧基、羟基、酚类、内脂类、醌类、醚类等。这些表面上含有地氧化物或络合物可以与被吸附的物质发生化学反应，从而与被吸附物质结合聚集到活性炭的表面。主要优点：</w:t>
      </w:r>
    </w:p>
    <w:p>
      <w:pPr>
        <w:spacing w:line="440" w:lineRule="exact"/>
        <w:ind w:firstLine="720" w:firstLineChars="200"/>
        <w:rPr>
          <w:rFonts w:hint="eastAsia"/>
          <w:sz w:val="36"/>
          <w:szCs w:val="36"/>
        </w:rPr>
      </w:pPr>
      <w:r>
        <w:rPr>
          <w:rFonts w:hint="eastAsia"/>
          <w:sz w:val="36"/>
          <w:szCs w:val="36"/>
        </w:rPr>
        <w:t>（1）吸附效率高</w:t>
      </w:r>
    </w:p>
    <w:p>
      <w:pPr>
        <w:spacing w:line="440" w:lineRule="exact"/>
        <w:ind w:firstLine="720" w:firstLineChars="200"/>
        <w:rPr>
          <w:rFonts w:hint="eastAsia"/>
          <w:sz w:val="36"/>
          <w:szCs w:val="36"/>
        </w:rPr>
      </w:pPr>
      <w:r>
        <w:rPr>
          <w:rFonts w:hint="eastAsia"/>
          <w:sz w:val="36"/>
          <w:szCs w:val="36"/>
        </w:rPr>
        <w:t>（2）运行成本低</w:t>
      </w:r>
    </w:p>
    <w:p>
      <w:pPr>
        <w:spacing w:line="440" w:lineRule="exact"/>
        <w:ind w:firstLine="720" w:firstLineChars="200"/>
        <w:rPr>
          <w:rFonts w:hint="eastAsia"/>
          <w:sz w:val="36"/>
          <w:szCs w:val="36"/>
        </w:rPr>
      </w:pPr>
      <w:r>
        <w:rPr>
          <w:rFonts w:hint="eastAsia"/>
          <w:sz w:val="36"/>
          <w:szCs w:val="36"/>
        </w:rPr>
        <w:t>（3）维护方便</w:t>
      </w:r>
    </w:p>
    <w:p>
      <w:pPr>
        <w:adjustRightInd w:val="0"/>
        <w:snapToGrid w:val="0"/>
        <w:spacing w:line="440" w:lineRule="exact"/>
        <w:ind w:firstLine="720" w:firstLineChars="200"/>
        <w:rPr>
          <w:rFonts w:hint="eastAsia" w:ascii="宋体" w:hAnsi="宋体"/>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adjustRightInd w:val="0"/>
        <w:snapToGrid w:val="0"/>
        <w:spacing w:line="440" w:lineRule="exact"/>
        <w:jc w:val="center"/>
        <w:rPr>
          <w:rFonts w:hint="eastAsia" w:ascii="宋体" w:hAnsi="宋体"/>
          <w:b/>
          <w:sz w:val="44"/>
          <w:szCs w:val="44"/>
        </w:rPr>
      </w:pPr>
      <w:bookmarkStart w:id="233" w:name="_Toc3104_WPSOffice_Level1"/>
      <w:bookmarkStart w:id="234" w:name="_Toc7881_WPSOffice_Level1"/>
      <w:bookmarkStart w:id="235" w:name="_Toc3965_WPSOffice_Level1"/>
      <w:r>
        <w:rPr>
          <w:rFonts w:hint="eastAsia" w:ascii="宋体" w:hAnsi="宋体"/>
          <w:b/>
          <w:sz w:val="44"/>
          <w:szCs w:val="44"/>
        </w:rPr>
        <w:t>三、安装维护</w:t>
      </w:r>
      <w:bookmarkEnd w:id="233"/>
      <w:bookmarkEnd w:id="234"/>
      <w:bookmarkEnd w:id="235"/>
    </w:p>
    <w:p>
      <w:pPr>
        <w:spacing w:line="440" w:lineRule="exact"/>
        <w:ind w:firstLine="720" w:firstLineChars="200"/>
        <w:rPr>
          <w:rFonts w:hint="eastAsia"/>
          <w:sz w:val="36"/>
          <w:szCs w:val="36"/>
        </w:rPr>
      </w:pPr>
    </w:p>
    <w:p>
      <w:pPr>
        <w:spacing w:line="440" w:lineRule="exact"/>
        <w:ind w:firstLine="720" w:firstLineChars="200"/>
        <w:rPr>
          <w:rFonts w:hint="eastAsia"/>
          <w:sz w:val="36"/>
          <w:szCs w:val="36"/>
        </w:rPr>
      </w:pPr>
      <w:r>
        <w:rPr>
          <w:rFonts w:hint="eastAsia"/>
          <w:sz w:val="36"/>
          <w:szCs w:val="36"/>
        </w:rPr>
        <w:t>（1）本产品安装时确保进出风顺畅，设备进出风口需安装变径。</w:t>
      </w:r>
    </w:p>
    <w:p>
      <w:pPr>
        <w:spacing w:line="440" w:lineRule="exact"/>
        <w:ind w:firstLine="720" w:firstLineChars="200"/>
        <w:rPr>
          <w:rFonts w:hint="eastAsia"/>
          <w:sz w:val="36"/>
          <w:szCs w:val="36"/>
        </w:rPr>
      </w:pPr>
      <w:r>
        <w:rPr>
          <w:rFonts w:hint="eastAsia"/>
          <w:sz w:val="36"/>
          <w:szCs w:val="36"/>
        </w:rPr>
        <w:t>（2）本产品不需要供电。</w:t>
      </w:r>
    </w:p>
    <w:p>
      <w:pPr>
        <w:spacing w:line="440" w:lineRule="exact"/>
        <w:ind w:firstLine="720" w:firstLineChars="200"/>
        <w:rPr>
          <w:rFonts w:hint="eastAsia"/>
          <w:sz w:val="36"/>
          <w:szCs w:val="36"/>
        </w:rPr>
      </w:pPr>
      <w:r>
        <w:rPr>
          <w:rFonts w:hint="eastAsia"/>
          <w:sz w:val="36"/>
          <w:szCs w:val="36"/>
        </w:rPr>
        <w:t>（3）本产品需要定期更换活性炭，周期一般二个月一次，视贵司使用情况而定。</w:t>
      </w:r>
    </w:p>
    <w:p>
      <w:pPr>
        <w:spacing w:line="440" w:lineRule="exact"/>
        <w:ind w:firstLine="720" w:firstLineChars="200"/>
        <w:rPr>
          <w:rFonts w:hint="eastAsia"/>
          <w:sz w:val="36"/>
          <w:szCs w:val="36"/>
        </w:rPr>
      </w:pPr>
      <w:r>
        <w:rPr>
          <w:rFonts w:hint="eastAsia"/>
          <w:sz w:val="36"/>
          <w:szCs w:val="36"/>
        </w:rPr>
        <w:t>（4）本产品净化单元采用分体抽屉式结构，易于安装、维护。</w:t>
      </w:r>
    </w:p>
    <w:p>
      <w:pPr>
        <w:spacing w:line="440" w:lineRule="exact"/>
        <w:ind w:firstLine="720" w:firstLineChars="200"/>
        <w:rPr>
          <w:rFonts w:hint="eastAsia"/>
          <w:sz w:val="36"/>
          <w:szCs w:val="36"/>
        </w:rPr>
      </w:pPr>
      <w:r>
        <w:rPr>
          <w:rFonts w:hint="eastAsia"/>
          <w:sz w:val="36"/>
          <w:szCs w:val="36"/>
        </w:rPr>
        <w:t>（5）活性炭采用蜂窝状活性炭，优点是风阻小，吸附能力强。</w:t>
      </w: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adjustRightInd w:val="0"/>
        <w:snapToGrid w:val="0"/>
        <w:spacing w:line="440" w:lineRule="exact"/>
        <w:jc w:val="center"/>
        <w:rPr>
          <w:rFonts w:hint="eastAsia" w:ascii="宋体" w:hAnsi="宋体"/>
          <w:b/>
          <w:sz w:val="44"/>
          <w:szCs w:val="44"/>
        </w:rPr>
      </w:pPr>
      <w:bookmarkStart w:id="236" w:name="_Toc20297_WPSOffice_Level1"/>
      <w:bookmarkStart w:id="237" w:name="_Toc2362_WPSOffice_Level1"/>
      <w:bookmarkStart w:id="238" w:name="_Toc8178_WPSOffice_Level1"/>
      <w:r>
        <w:rPr>
          <w:rFonts w:hint="eastAsia" w:ascii="宋体" w:hAnsi="宋体"/>
          <w:b/>
          <w:sz w:val="44"/>
          <w:szCs w:val="44"/>
        </w:rPr>
        <w:t>四、注意事项</w:t>
      </w:r>
      <w:bookmarkEnd w:id="236"/>
      <w:bookmarkEnd w:id="237"/>
      <w:bookmarkEnd w:id="238"/>
    </w:p>
    <w:p>
      <w:pPr>
        <w:pStyle w:val="9"/>
        <w:adjustRightInd w:val="0"/>
        <w:snapToGrid w:val="0"/>
        <w:spacing w:before="0" w:beforeAutospacing="0" w:after="0" w:afterAutospacing="0" w:line="440" w:lineRule="exact"/>
        <w:ind w:firstLine="480" w:firstLineChars="200"/>
        <w:rPr>
          <w:rFonts w:hint="eastAsia"/>
        </w:rPr>
      </w:pPr>
    </w:p>
    <w:p>
      <w:pPr>
        <w:pStyle w:val="9"/>
        <w:adjustRightInd w:val="0"/>
        <w:snapToGrid w:val="0"/>
        <w:spacing w:before="0" w:beforeAutospacing="0" w:after="0" w:afterAutospacing="0" w:line="440" w:lineRule="exact"/>
        <w:ind w:firstLine="720" w:firstLineChars="200"/>
        <w:rPr>
          <w:rFonts w:hint="eastAsia" w:ascii="Times New Roman" w:hAnsi="Times New Roman"/>
          <w:kern w:val="2"/>
          <w:sz w:val="36"/>
          <w:szCs w:val="36"/>
        </w:rPr>
      </w:pPr>
      <w:r>
        <w:rPr>
          <w:rFonts w:hint="eastAsia" w:ascii="Times New Roman" w:hAnsi="Times New Roman"/>
          <w:kern w:val="2"/>
          <w:sz w:val="36"/>
          <w:szCs w:val="36"/>
        </w:rPr>
        <w:t>1、只有在风机设备完全正常的情况下方可运转。</w:t>
      </w:r>
    </w:p>
    <w:p>
      <w:pPr>
        <w:pStyle w:val="9"/>
        <w:adjustRightInd w:val="0"/>
        <w:snapToGrid w:val="0"/>
        <w:spacing w:before="0" w:beforeAutospacing="0" w:after="0" w:afterAutospacing="0" w:line="440" w:lineRule="exact"/>
        <w:ind w:firstLine="720" w:firstLineChars="200"/>
        <w:rPr>
          <w:rFonts w:hint="eastAsia" w:ascii="Times New Roman" w:hAnsi="Times New Roman"/>
          <w:kern w:val="2"/>
          <w:sz w:val="36"/>
          <w:szCs w:val="36"/>
        </w:rPr>
      </w:pPr>
      <w:r>
        <w:rPr>
          <w:rFonts w:hint="eastAsia" w:ascii="Times New Roman" w:hAnsi="Times New Roman"/>
          <w:kern w:val="2"/>
          <w:sz w:val="36"/>
          <w:szCs w:val="36"/>
        </w:rPr>
        <w:t>2、在风机的运转中，活性炭净化器各活动门必须紧扣。</w:t>
      </w:r>
    </w:p>
    <w:p>
      <w:pPr>
        <w:pStyle w:val="9"/>
        <w:adjustRightInd w:val="0"/>
        <w:snapToGrid w:val="0"/>
        <w:spacing w:before="0" w:beforeAutospacing="0" w:after="0" w:afterAutospacing="0" w:line="440" w:lineRule="exact"/>
        <w:ind w:firstLine="720" w:firstLineChars="200"/>
        <w:rPr>
          <w:rFonts w:hint="eastAsia" w:ascii="Times New Roman" w:hAnsi="Times New Roman"/>
          <w:kern w:val="2"/>
          <w:sz w:val="36"/>
          <w:szCs w:val="36"/>
        </w:rPr>
      </w:pPr>
      <w:r>
        <w:rPr>
          <w:rFonts w:hint="eastAsia" w:ascii="Times New Roman" w:hAnsi="Times New Roman"/>
          <w:kern w:val="2"/>
          <w:sz w:val="36"/>
          <w:szCs w:val="36"/>
        </w:rPr>
        <w:t>3、如风机设备在检查后开动时，则必须注意风机各部位是否正常。</w:t>
      </w:r>
    </w:p>
    <w:p>
      <w:pPr>
        <w:pStyle w:val="9"/>
        <w:adjustRightInd w:val="0"/>
        <w:snapToGrid w:val="0"/>
        <w:spacing w:before="0" w:beforeAutospacing="0" w:after="0" w:afterAutospacing="0" w:line="440" w:lineRule="exact"/>
        <w:ind w:firstLine="720" w:firstLineChars="200"/>
        <w:rPr>
          <w:rFonts w:hint="eastAsia" w:ascii="Times New Roman" w:hAnsi="Times New Roman"/>
          <w:kern w:val="2"/>
          <w:sz w:val="36"/>
          <w:szCs w:val="36"/>
        </w:rPr>
      </w:pPr>
      <w:r>
        <w:rPr>
          <w:rFonts w:hint="eastAsia" w:ascii="Times New Roman" w:hAnsi="Times New Roman"/>
          <w:kern w:val="2"/>
          <w:sz w:val="36"/>
          <w:szCs w:val="36"/>
        </w:rPr>
        <w:t>4、定期更换活性炭，饱和的活性炭吸附效率降低，应定期从抽屉中卸出，重新装上新的活性炭。更换情况要根据实际情况而定。</w:t>
      </w:r>
    </w:p>
    <w:p>
      <w:pPr>
        <w:pStyle w:val="9"/>
        <w:adjustRightInd w:val="0"/>
        <w:snapToGrid w:val="0"/>
        <w:spacing w:before="0" w:beforeAutospacing="0" w:after="0" w:afterAutospacing="0" w:line="440" w:lineRule="exact"/>
        <w:ind w:firstLine="720" w:firstLineChars="200"/>
        <w:rPr>
          <w:rFonts w:hint="eastAsia" w:ascii="Times New Roman" w:hAnsi="Times New Roman"/>
          <w:kern w:val="2"/>
          <w:sz w:val="36"/>
          <w:szCs w:val="36"/>
        </w:rPr>
      </w:pPr>
      <w:r>
        <w:rPr>
          <w:rFonts w:hint="eastAsia" w:ascii="Times New Roman" w:hAnsi="Times New Roman"/>
          <w:kern w:val="2"/>
          <w:sz w:val="36"/>
          <w:szCs w:val="36"/>
        </w:rPr>
        <w:t>5、为确保人身安全，在活性炭净化器更换活性炭时，成套设备必须停止运转。</w:t>
      </w:r>
    </w:p>
    <w:p>
      <w:pPr>
        <w:pStyle w:val="9"/>
        <w:adjustRightInd w:val="0"/>
        <w:snapToGrid w:val="0"/>
        <w:spacing w:before="0" w:beforeAutospacing="0" w:after="0" w:afterAutospacing="0" w:line="440" w:lineRule="exact"/>
        <w:ind w:firstLine="720" w:firstLineChars="200"/>
        <w:rPr>
          <w:rFonts w:hint="eastAsia" w:ascii="Times New Roman" w:hAnsi="Times New Roman"/>
          <w:kern w:val="2"/>
          <w:sz w:val="36"/>
          <w:szCs w:val="36"/>
        </w:rPr>
      </w:pPr>
      <w:r>
        <w:rPr>
          <w:rFonts w:hint="eastAsia" w:ascii="Times New Roman" w:hAnsi="Times New Roman"/>
          <w:kern w:val="2"/>
          <w:sz w:val="36"/>
          <w:szCs w:val="36"/>
        </w:rPr>
        <w:t>6、在设备运转过程中，如发现不正常情况时应立即检查，查明原因并设法消除。</w:t>
      </w: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adjustRightInd w:val="0"/>
        <w:snapToGrid w:val="0"/>
        <w:spacing w:line="440" w:lineRule="exact"/>
        <w:jc w:val="center"/>
        <w:rPr>
          <w:rFonts w:hint="eastAsia" w:ascii="宋体" w:hAnsi="宋体"/>
          <w:b/>
          <w:sz w:val="44"/>
          <w:szCs w:val="44"/>
        </w:rPr>
      </w:pPr>
      <w:bookmarkStart w:id="239" w:name="_Toc6771_WPSOffice_Level1"/>
      <w:bookmarkStart w:id="240" w:name="_Toc20827_WPSOffice_Level1"/>
      <w:bookmarkStart w:id="241" w:name="_Toc26936_WPSOffice_Level1"/>
      <w:r>
        <w:rPr>
          <w:rFonts w:hint="eastAsia" w:ascii="宋体" w:hAnsi="宋体"/>
          <w:b/>
          <w:sz w:val="44"/>
          <w:szCs w:val="44"/>
        </w:rPr>
        <w:t>五、维护保养</w:t>
      </w:r>
      <w:bookmarkEnd w:id="239"/>
      <w:bookmarkEnd w:id="240"/>
      <w:bookmarkEnd w:id="241"/>
    </w:p>
    <w:p>
      <w:pPr>
        <w:adjustRightInd w:val="0"/>
        <w:snapToGrid w:val="0"/>
        <w:spacing w:line="440" w:lineRule="exact"/>
        <w:ind w:firstLine="480" w:firstLineChars="200"/>
        <w:rPr>
          <w:rFonts w:hint="eastAsia" w:ascii="宋体" w:hAnsi="宋体"/>
          <w:kern w:val="0"/>
          <w:sz w:val="24"/>
          <w:szCs w:val="22"/>
        </w:rPr>
      </w:pPr>
    </w:p>
    <w:p>
      <w:pPr>
        <w:adjustRightInd w:val="0"/>
        <w:snapToGrid w:val="0"/>
        <w:spacing w:line="440" w:lineRule="exact"/>
        <w:ind w:firstLine="720" w:firstLineChars="200"/>
        <w:rPr>
          <w:rFonts w:hint="eastAsia"/>
          <w:sz w:val="36"/>
          <w:szCs w:val="36"/>
        </w:rPr>
      </w:pPr>
      <w:r>
        <w:rPr>
          <w:rFonts w:hint="eastAsia"/>
          <w:sz w:val="36"/>
          <w:szCs w:val="36"/>
        </w:rPr>
        <w:t>1、活性炭净化器装料抽屉定期对活性炭取样检查，是否已经饱和以及活性炭有无堵塞。</w:t>
      </w:r>
    </w:p>
    <w:p>
      <w:pPr>
        <w:adjustRightInd w:val="0"/>
        <w:snapToGrid w:val="0"/>
        <w:spacing w:line="440" w:lineRule="exact"/>
        <w:ind w:firstLine="720" w:firstLineChars="200"/>
        <w:rPr>
          <w:rFonts w:hint="eastAsia"/>
          <w:sz w:val="36"/>
          <w:szCs w:val="36"/>
        </w:rPr>
      </w:pPr>
      <w:r>
        <w:rPr>
          <w:rFonts w:hint="eastAsia"/>
          <w:sz w:val="36"/>
          <w:szCs w:val="36"/>
        </w:rPr>
        <w:t>2、定期对整个系统进行观察，确认活性炭工作正常。</w:t>
      </w:r>
    </w:p>
    <w:p>
      <w:pPr>
        <w:adjustRightInd w:val="0"/>
        <w:snapToGrid w:val="0"/>
        <w:spacing w:line="440" w:lineRule="exact"/>
        <w:ind w:firstLine="720" w:firstLineChars="200"/>
        <w:rPr>
          <w:rFonts w:hint="eastAsia"/>
          <w:sz w:val="36"/>
          <w:szCs w:val="36"/>
        </w:rPr>
      </w:pPr>
      <w:r>
        <w:rPr>
          <w:rFonts w:hint="eastAsia"/>
          <w:sz w:val="36"/>
          <w:szCs w:val="36"/>
        </w:rPr>
        <w:t>3、定期检查门密封及整体设备情况，检查有无漏风情况。</w:t>
      </w:r>
    </w:p>
    <w:p>
      <w:pPr>
        <w:adjustRightInd w:val="0"/>
        <w:snapToGrid w:val="0"/>
        <w:spacing w:line="440" w:lineRule="exact"/>
        <w:ind w:firstLine="720" w:firstLineChars="200"/>
        <w:rPr>
          <w:rFonts w:hint="eastAsia"/>
          <w:sz w:val="36"/>
          <w:szCs w:val="36"/>
        </w:rPr>
      </w:pPr>
      <w:r>
        <w:rPr>
          <w:rFonts w:hint="eastAsia"/>
          <w:sz w:val="36"/>
          <w:szCs w:val="36"/>
        </w:rPr>
        <w:t>4、设置专人负责定期检查表。</w:t>
      </w:r>
    </w:p>
    <w:p>
      <w:pPr>
        <w:adjustRightInd w:val="0"/>
        <w:snapToGrid w:val="0"/>
        <w:spacing w:line="440" w:lineRule="exact"/>
        <w:ind w:firstLine="720" w:firstLineChars="200"/>
        <w:rPr>
          <w:rFonts w:hint="eastAsia"/>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ind w:firstLine="723" w:firstLineChars="200"/>
        <w:jc w:val="center"/>
        <w:rPr>
          <w:rFonts w:hint="eastAsia" w:ascii="宋体" w:hAnsi="宋体"/>
          <w:b/>
          <w:sz w:val="36"/>
          <w:szCs w:val="36"/>
        </w:rPr>
      </w:pPr>
    </w:p>
    <w:p>
      <w:pPr>
        <w:adjustRightInd w:val="0"/>
        <w:snapToGrid w:val="0"/>
        <w:spacing w:line="440" w:lineRule="exact"/>
        <w:rPr>
          <w:rFonts w:hint="eastAsia" w:ascii="宋体" w:hAnsi="宋体"/>
          <w:b/>
          <w:sz w:val="44"/>
          <w:szCs w:val="44"/>
        </w:rPr>
      </w:pPr>
    </w:p>
    <w:p>
      <w:pPr>
        <w:adjustRightInd w:val="0"/>
        <w:snapToGrid w:val="0"/>
        <w:spacing w:line="440" w:lineRule="exact"/>
        <w:jc w:val="left"/>
        <w:rPr>
          <w:rFonts w:hint="eastAsia" w:ascii="宋体" w:hAnsi="宋体"/>
          <w:b/>
          <w:sz w:val="44"/>
          <w:szCs w:val="44"/>
        </w:rPr>
      </w:pPr>
    </w:p>
    <w:p>
      <w:pPr>
        <w:adjustRightInd w:val="0"/>
        <w:snapToGrid w:val="0"/>
        <w:spacing w:line="440" w:lineRule="exact"/>
        <w:jc w:val="center"/>
        <w:rPr>
          <w:rFonts w:hint="eastAsia" w:ascii="宋体" w:hAnsi="宋体"/>
          <w:kern w:val="0"/>
          <w:sz w:val="44"/>
          <w:szCs w:val="44"/>
        </w:rPr>
      </w:pPr>
      <w:bookmarkStart w:id="242" w:name="_Toc21560_WPSOffice_Level1"/>
      <w:bookmarkStart w:id="243" w:name="_Toc20945_WPSOffice_Level1"/>
      <w:bookmarkStart w:id="244" w:name="_Toc12970_WPSOffice_Level1"/>
      <w:r>
        <w:rPr>
          <w:rFonts w:hint="eastAsia" w:ascii="宋体" w:hAnsi="宋体"/>
          <w:b/>
          <w:sz w:val="44"/>
          <w:szCs w:val="44"/>
        </w:rPr>
        <w:t>六、排除故障</w:t>
      </w:r>
      <w:bookmarkEnd w:id="242"/>
      <w:bookmarkEnd w:id="243"/>
      <w:bookmarkEnd w:id="244"/>
    </w:p>
    <w:p>
      <w:pPr>
        <w:adjustRightInd w:val="0"/>
        <w:snapToGrid w:val="0"/>
        <w:spacing w:line="440" w:lineRule="exact"/>
        <w:ind w:firstLine="480" w:firstLineChars="200"/>
        <w:rPr>
          <w:rFonts w:hint="eastAsia" w:ascii="宋体" w:hAnsi="宋体"/>
          <w:kern w:val="0"/>
          <w:sz w:val="24"/>
          <w:szCs w:val="22"/>
        </w:rPr>
      </w:pPr>
    </w:p>
    <w:p>
      <w:pPr>
        <w:adjustRightInd w:val="0"/>
        <w:snapToGrid w:val="0"/>
        <w:spacing w:line="440" w:lineRule="exact"/>
        <w:ind w:firstLine="720" w:firstLineChars="200"/>
        <w:rPr>
          <w:rFonts w:hint="eastAsia"/>
          <w:sz w:val="36"/>
          <w:szCs w:val="36"/>
        </w:rPr>
      </w:pPr>
      <w:r>
        <w:rPr>
          <w:rFonts w:hint="eastAsia"/>
          <w:sz w:val="36"/>
          <w:szCs w:val="36"/>
        </w:rPr>
        <w:t>1、定期检查活性炭净化器，查看有无积灰，水汽等。一旦上述情况发生，及时清理及相应必要更换，查找来源。</w:t>
      </w:r>
    </w:p>
    <w:p>
      <w:pPr>
        <w:adjustRightInd w:val="0"/>
        <w:snapToGrid w:val="0"/>
        <w:spacing w:line="440" w:lineRule="exact"/>
        <w:ind w:firstLine="720" w:firstLineChars="200"/>
        <w:rPr>
          <w:rFonts w:hint="eastAsia"/>
          <w:sz w:val="36"/>
          <w:szCs w:val="36"/>
        </w:rPr>
      </w:pPr>
      <w:r>
        <w:rPr>
          <w:rFonts w:hint="eastAsia"/>
          <w:sz w:val="36"/>
          <w:szCs w:val="36"/>
        </w:rPr>
        <w:t>2、检修活性炭净化器门的漏风问题，正确紧固检查门，解决漏风问题。</w:t>
      </w:r>
    </w:p>
    <w:p>
      <w:pPr>
        <w:adjustRightInd w:val="0"/>
        <w:snapToGrid w:val="0"/>
        <w:spacing w:line="440" w:lineRule="exact"/>
        <w:ind w:firstLine="720" w:firstLineChars="200"/>
        <w:rPr>
          <w:rFonts w:hint="eastAsia"/>
          <w:sz w:val="36"/>
          <w:szCs w:val="36"/>
        </w:rPr>
      </w:pPr>
      <w:r>
        <w:rPr>
          <w:rFonts w:hint="eastAsia"/>
          <w:sz w:val="36"/>
          <w:szCs w:val="36"/>
        </w:rPr>
        <w:t>3、活性炭净化器设备整体完好性检查有无破损等，解决漏风问题。</w:t>
      </w:r>
    </w:p>
    <w:p>
      <w:pPr>
        <w:adjustRightInd w:val="0"/>
        <w:snapToGrid w:val="0"/>
        <w:spacing w:line="440" w:lineRule="exact"/>
        <w:ind w:firstLine="720" w:firstLineChars="200"/>
        <w:rPr>
          <w:rFonts w:hint="eastAsia"/>
          <w:sz w:val="36"/>
          <w:szCs w:val="36"/>
        </w:rPr>
      </w:pPr>
      <w:r>
        <w:rPr>
          <w:rFonts w:hint="eastAsia"/>
          <w:sz w:val="36"/>
          <w:szCs w:val="36"/>
        </w:rPr>
        <w:t>3、风机风抽不出去的问题，可能活性炭吸附过久，阻力越来越大，解决方法定期更换活性炭。</w:t>
      </w:r>
    </w:p>
    <w:p/>
    <w:p>
      <w:pPr>
        <w:rPr>
          <w:rFonts w:hint="eastAsia"/>
          <w:lang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新魏">
    <w:altName w:val="宋体"/>
    <w:panose1 w:val="0201080004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OTMYNrDAgAA2AUAAA4AAAAA&#10;AAAAAQAgAAAAHwEAAGRycy9lMm9Eb2MueG1sUEsFBgAAAAAGAAYAWQEAAFQG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8306"/>
      </w:tabs>
      <w:rPr>
        <w:b/>
        <w:bC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U//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F+LU//DAgAA2AUAAA4AAAAA&#10;AAAAAQAgAAAAHwEAAGRycy9lMm9Eb2MueG1sUEsFBgAAAAAGAAYAWQEAAFQG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v:textbox>
            </v:shape>
          </w:pict>
        </mc:Fallback>
      </mc:AlternateContent>
    </w:r>
    <w:r>
      <w:rPr>
        <w:rFonts w:hint="eastAsia"/>
        <w:lang w:eastAsia="zh-CN"/>
      </w:rPr>
      <w:tab/>
    </w:r>
    <w:r>
      <w:rPr>
        <w:rFonts w:hint="eastAsia"/>
        <w:b/>
        <w:bCs/>
        <w:sz w:val="21"/>
        <w:szCs w:val="21"/>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Am0bVXDAgAA2AUAAA4AAAAA&#10;AAAAAQAgAAAAHwEAAGRycy9lMm9Eb2MueG1sUEsFBgAAAAAGAAYAWQEAAFQG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hint="eastAsia"/>
        <w:b/>
        <w:sz w:val="24"/>
        <w:szCs w:val="24"/>
      </w:rPr>
    </w:pPr>
    <w:r>
      <w:pict>
        <v:shape id="PowerPlusWaterMarkObject3" o:spid="_x0000_s2049" o:spt="136" type="#_x0000_t136" style="position:absolute;left:0pt;height:120.75pt;width:480pt;mso-position-horizontal:center;mso-position-horizontal-relative:margin;mso-position-vertical:center;mso-position-vertical-relative:margin;rotation:20643840f;z-index:-251658240;mso-width-relative:page;mso-height-relative:page;" fillcolor="#99CCFF" filled="t" stroked="f" coordsize="21600,21600" o:allowincell="f">
          <v:path/>
          <v:fill on="t" opacity="32768f" focussize="0,0"/>
          <v:stroke on="f"/>
          <v:imagedata o:title=""/>
          <o:lock v:ext="edit"/>
          <v:textpath on="t" fitshape="t" fitpath="t" trim="t" xscale="f" string="顶研环保" style="font-family:新宋体;font-size:96pt;v-same-letter-heights:f;v-text-align:center;"/>
        </v:shape>
      </w:pict>
    </w:r>
    <w:r>
      <w:rPr>
        <w:rFonts w:hint="eastAsia"/>
      </w:rPr>
      <w:pict>
        <v:shape id="_x0000_i1025" o:spt="75" type="#_x0000_t75" style="height:38.1pt;width:45.05pt;" filled="f" stroked="f" coordsize="21600,21600">
          <v:path/>
          <v:fill on="f" focussize="0,0"/>
          <v:stroke on="f"/>
          <v:imagedata r:id="rId1" o:title="QQ图片20170223122431"/>
          <o:lock v:ext="edit" aspectratio="t"/>
          <w10:wrap type="none"/>
          <w10:anchorlock/>
        </v:shape>
      </w:pict>
    </w:r>
    <w:r>
      <w:rPr>
        <w:rFonts w:hint="eastAsia"/>
        <w:b/>
        <w:sz w:val="24"/>
        <w:szCs w:val="24"/>
      </w:rPr>
      <w:t xml:space="preserve">                                     </w:t>
    </w:r>
    <w:r>
      <w:rPr>
        <w:rFonts w:hint="eastAsia"/>
        <w:b/>
        <w:sz w:val="24"/>
        <w:szCs w:val="24"/>
        <w:lang w:eastAsia="zh-CN"/>
      </w:rPr>
      <w:t>绍兴</w:t>
    </w:r>
    <w:r>
      <w:rPr>
        <w:rFonts w:hint="eastAsia"/>
        <w:b/>
        <w:sz w:val="24"/>
        <w:szCs w:val="24"/>
      </w:rPr>
      <w:t>顶研环保</w:t>
    </w:r>
    <w:r>
      <w:rPr>
        <w:rFonts w:hint="eastAsia"/>
        <w:b/>
        <w:sz w:val="24"/>
        <w:szCs w:val="24"/>
        <w:lang w:eastAsia="zh-CN"/>
      </w:rPr>
      <w:t>设备</w:t>
    </w:r>
    <w:r>
      <w:rPr>
        <w:rFonts w:hint="eastAsia"/>
        <w:b/>
        <w:sz w:val="24"/>
        <w:szCs w:val="24"/>
      </w:rPr>
      <w:t>有限公司</w:t>
    </w:r>
  </w:p>
  <w:p>
    <w:pPr>
      <w:pStyle w:val="5"/>
      <w:ind w:firstLine="601" w:firstLineChars="285"/>
      <w:jc w:val="both"/>
      <w:rPr>
        <w:rFonts w:hint="eastAsia"/>
        <w:b/>
        <w:sz w:val="21"/>
        <w:szCs w:val="21"/>
      </w:rPr>
    </w:pPr>
    <w:r>
      <w:rPr>
        <w:rFonts w:hint="eastAsia" w:ascii="仿宋" w:hAnsi="仿宋"/>
        <w:b/>
        <w:sz w:val="21"/>
        <w:szCs w:val="21"/>
        <w:lang w:val="en-US" w:eastAsia="zh-CN"/>
      </w:rPr>
      <w:t>ShaoXing</w:t>
    </w:r>
    <w:r>
      <w:rPr>
        <w:rFonts w:hint="eastAsia" w:ascii="仿宋" w:hAnsi="仿宋"/>
        <w:b/>
        <w:sz w:val="21"/>
        <w:szCs w:val="21"/>
      </w:rPr>
      <w:t xml:space="preserve"> Dingyan </w:t>
    </w:r>
    <w:r>
      <w:rPr>
        <w:rFonts w:ascii="仿宋" w:hAnsi="仿宋"/>
        <w:b/>
        <w:sz w:val="21"/>
        <w:szCs w:val="21"/>
      </w:rPr>
      <w:t xml:space="preserve">Environmental </w:t>
    </w:r>
    <w:r>
      <w:rPr>
        <w:rFonts w:hint="eastAsia" w:ascii="仿宋" w:hAnsi="仿宋"/>
        <w:b/>
        <w:sz w:val="21"/>
        <w:szCs w:val="21"/>
      </w:rPr>
      <w:t xml:space="preserve">Protection </w:t>
    </w:r>
    <w:r>
      <w:rPr>
        <w:rFonts w:hint="eastAsia" w:ascii="仿宋" w:hAnsi="仿宋"/>
        <w:b/>
        <w:sz w:val="21"/>
        <w:szCs w:val="21"/>
        <w:lang w:val="en-US" w:eastAsia="zh-CN"/>
      </w:rPr>
      <w:t>E</w:t>
    </w:r>
    <w:r>
      <w:rPr>
        <w:rFonts w:hint="eastAsia" w:ascii="仿宋" w:hAnsi="仿宋"/>
        <w:b/>
        <w:sz w:val="21"/>
        <w:szCs w:val="21"/>
      </w:rPr>
      <w:t>quipment</w:t>
    </w:r>
    <w:r>
      <w:rPr>
        <w:rFonts w:ascii="仿宋" w:hAnsi="仿宋"/>
        <w:b/>
        <w:sz w:val="21"/>
        <w:szCs w:val="21"/>
      </w:rPr>
      <w:t xml:space="preserve"> Co</w:t>
    </w:r>
    <w:r>
      <w:rPr>
        <w:rFonts w:hint="eastAsia" w:ascii="仿宋" w:hAnsi="仿宋"/>
        <w:b/>
        <w:sz w:val="21"/>
        <w:szCs w:val="21"/>
      </w:rPr>
      <w:t>.,</w:t>
    </w:r>
    <w:r>
      <w:rPr>
        <w:rFonts w:ascii="仿宋" w:hAnsi="仿宋"/>
        <w:b/>
        <w:sz w:val="21"/>
        <w:szCs w:val="21"/>
      </w:rPr>
      <w:t>Ltd</w:t>
    </w:r>
    <w:r>
      <w:rPr>
        <w:rFonts w:hint="eastAsia" w:ascii="仿宋" w:hAnsi="仿宋"/>
        <w:b/>
        <w:sz w:val="21"/>
        <w:szCs w:val="21"/>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43ED9"/>
    <w:multiLevelType w:val="multilevel"/>
    <w:tmpl w:val="2BC43ED9"/>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9A4CC6D"/>
    <w:multiLevelType w:val="singleLevel"/>
    <w:tmpl w:val="59A4CC6D"/>
    <w:lvl w:ilvl="0" w:tentative="0">
      <w:start w:val="2"/>
      <w:numFmt w:val="decimal"/>
      <w:suff w:val="nothing"/>
      <w:lvlText w:val="%1、"/>
      <w:lvlJc w:val="left"/>
    </w:lvl>
  </w:abstractNum>
  <w:abstractNum w:abstractNumId="2">
    <w:nsid w:val="7DB08858"/>
    <w:multiLevelType w:val="singleLevel"/>
    <w:tmpl w:val="7DB08858"/>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A53"/>
    <w:rsid w:val="00131C82"/>
    <w:rsid w:val="001A46D9"/>
    <w:rsid w:val="003F0F79"/>
    <w:rsid w:val="004B1C9B"/>
    <w:rsid w:val="008A5D69"/>
    <w:rsid w:val="008D4A53"/>
    <w:rsid w:val="009268E0"/>
    <w:rsid w:val="00A20D14"/>
    <w:rsid w:val="00B03990"/>
    <w:rsid w:val="00C00881"/>
    <w:rsid w:val="00C64F34"/>
    <w:rsid w:val="00DC08B3"/>
    <w:rsid w:val="00E260FE"/>
    <w:rsid w:val="02BE74B4"/>
    <w:rsid w:val="040C627B"/>
    <w:rsid w:val="042059E9"/>
    <w:rsid w:val="06B82C4E"/>
    <w:rsid w:val="08437876"/>
    <w:rsid w:val="09865EE7"/>
    <w:rsid w:val="0A644B27"/>
    <w:rsid w:val="0C7E0F8D"/>
    <w:rsid w:val="102248F1"/>
    <w:rsid w:val="10CF6B72"/>
    <w:rsid w:val="122451C5"/>
    <w:rsid w:val="16773022"/>
    <w:rsid w:val="19FF4BED"/>
    <w:rsid w:val="1AF1677B"/>
    <w:rsid w:val="1B7E1F36"/>
    <w:rsid w:val="1BDF1012"/>
    <w:rsid w:val="1F3D4ADB"/>
    <w:rsid w:val="1FDD5A8D"/>
    <w:rsid w:val="20C9775C"/>
    <w:rsid w:val="21290551"/>
    <w:rsid w:val="2370039A"/>
    <w:rsid w:val="24052072"/>
    <w:rsid w:val="24A11377"/>
    <w:rsid w:val="24D90A67"/>
    <w:rsid w:val="25CD20A0"/>
    <w:rsid w:val="2AF94E1F"/>
    <w:rsid w:val="2BC123F3"/>
    <w:rsid w:val="33E8718E"/>
    <w:rsid w:val="37AE489A"/>
    <w:rsid w:val="39E77469"/>
    <w:rsid w:val="3BA26F40"/>
    <w:rsid w:val="3BFB108D"/>
    <w:rsid w:val="3E4C1596"/>
    <w:rsid w:val="42E14763"/>
    <w:rsid w:val="42FE28E8"/>
    <w:rsid w:val="445E2BE5"/>
    <w:rsid w:val="484E7B85"/>
    <w:rsid w:val="4DF65AB9"/>
    <w:rsid w:val="4E0351B7"/>
    <w:rsid w:val="4FE56CB4"/>
    <w:rsid w:val="54AD604C"/>
    <w:rsid w:val="56D0261E"/>
    <w:rsid w:val="56D109B2"/>
    <w:rsid w:val="57A959AA"/>
    <w:rsid w:val="592654EA"/>
    <w:rsid w:val="594F62BC"/>
    <w:rsid w:val="5A3E7CA9"/>
    <w:rsid w:val="5C6C3937"/>
    <w:rsid w:val="5C81742F"/>
    <w:rsid w:val="5D073480"/>
    <w:rsid w:val="5E171A30"/>
    <w:rsid w:val="5E8F1407"/>
    <w:rsid w:val="5FA7600E"/>
    <w:rsid w:val="602223E6"/>
    <w:rsid w:val="60261B88"/>
    <w:rsid w:val="631F2227"/>
    <w:rsid w:val="64DD1BCA"/>
    <w:rsid w:val="66F205B7"/>
    <w:rsid w:val="67D16647"/>
    <w:rsid w:val="6AB93FAA"/>
    <w:rsid w:val="6BAC5908"/>
    <w:rsid w:val="6CD83CA6"/>
    <w:rsid w:val="6D535020"/>
    <w:rsid w:val="6D6E602B"/>
    <w:rsid w:val="6FA76D32"/>
    <w:rsid w:val="70426203"/>
    <w:rsid w:val="71277D36"/>
    <w:rsid w:val="71473C0C"/>
    <w:rsid w:val="73AC43CA"/>
    <w:rsid w:val="74096CEF"/>
    <w:rsid w:val="75350567"/>
    <w:rsid w:val="761A500B"/>
    <w:rsid w:val="7672630F"/>
    <w:rsid w:val="771506D9"/>
    <w:rsid w:val="79C23B64"/>
    <w:rsid w:val="7A677729"/>
    <w:rsid w:val="7B6D50A8"/>
    <w:rsid w:val="7C9F3D5B"/>
    <w:rsid w:val="7EE97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5"/>
    <w:uiPriority w:val="0"/>
    <w:pPr>
      <w:keepNext/>
      <w:keepLines/>
      <w:widowControl w:val="0"/>
      <w:spacing w:before="260" w:after="260" w:line="360" w:lineRule="auto"/>
      <w:jc w:val="left"/>
      <w:outlineLvl w:val="1"/>
    </w:pPr>
    <w:rPr>
      <w:rFonts w:ascii="华文新魏" w:hAnsi="Arial" w:eastAsia="仿宋" w:cs="Times New Roman"/>
      <w:b/>
      <w:bCs/>
      <w:kern w:val="0"/>
      <w:sz w:val="24"/>
      <w:szCs w:val="32"/>
    </w:rPr>
  </w:style>
  <w:style w:type="character" w:default="1" w:styleId="10">
    <w:name w:val="Default Paragraph Font"/>
    <w:semiHidden/>
    <w:uiPriority w:val="0"/>
  </w:style>
  <w:style w:type="table" w:default="1" w:styleId="12">
    <w:name w:val="Normal Table"/>
    <w:semiHidden/>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uiPriority w:val="0"/>
    <w:pPr>
      <w:widowControl w:val="0"/>
      <w:jc w:val="both"/>
    </w:pPr>
    <w:rPr>
      <w:rFonts w:ascii="Times New Roman" w:hAnsi="Times New Roman" w:eastAsia="宋体" w:cs="Times New Roman"/>
      <w:kern w:val="2"/>
      <w:sz w:val="21"/>
    </w:rPr>
  </w:style>
  <w:style w:type="paragraph" w:styleId="7">
    <w:name w:val="Subtitle"/>
    <w:basedOn w:val="1"/>
    <w:next w:val="1"/>
    <w:qFormat/>
    <w:uiPriority w:val="0"/>
    <w:pPr>
      <w:widowControl w:val="0"/>
      <w:spacing w:before="240" w:beforeLines="0" w:after="60" w:afterLines="0" w:line="312" w:lineRule="auto"/>
      <w:jc w:val="center"/>
      <w:outlineLvl w:val="1"/>
    </w:pPr>
    <w:rPr>
      <w:rFonts w:ascii="Cambria" w:hAnsi="Cambria" w:eastAsia="宋体" w:cs="Times New Roman"/>
      <w:b/>
      <w:bCs/>
      <w:kern w:val="28"/>
      <w:sz w:val="32"/>
      <w:szCs w:val="32"/>
    </w:rPr>
  </w:style>
  <w:style w:type="paragraph" w:styleId="8">
    <w:name w:val="toc 2"/>
    <w:basedOn w:val="1"/>
    <w:next w:val="1"/>
    <w:qFormat/>
    <w:uiPriority w:val="0"/>
    <w:pPr>
      <w:widowControl w:val="0"/>
      <w:ind w:left="420" w:leftChars="200"/>
      <w:jc w:val="both"/>
    </w:pPr>
    <w:rPr>
      <w:rFonts w:ascii="Times New Roman" w:hAnsi="Times New Roman" w:eastAsia="宋体" w:cs="Times New Roman"/>
      <w:kern w:val="2"/>
      <w:sz w:val="21"/>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Emphasis"/>
    <w:basedOn w:val="10"/>
    <w:qFormat/>
    <w:uiPriority w:val="0"/>
    <w:rPr>
      <w:rFonts w:ascii="Times New Roman" w:hAnsi="Times New Roman" w:eastAsia="宋体" w:cs="Times New Roman"/>
      <w:i/>
    </w:rPr>
  </w:style>
  <w:style w:type="paragraph" w:customStyle="1" w:styleId="13">
    <w:name w:val="列出段落1"/>
    <w:basedOn w:val="1"/>
    <w:qFormat/>
    <w:uiPriority w:val="34"/>
    <w:pPr>
      <w:ind w:firstLine="420" w:firstLineChars="200"/>
    </w:pPr>
    <w:rPr>
      <w:rFonts w:ascii="Calibri" w:hAnsi="Calibri" w:eastAsia="宋体" w:cs="Times New Roman"/>
      <w:szCs w:val="22"/>
    </w:rPr>
  </w:style>
  <w:style w:type="paragraph" w:customStyle="1" w:styleId="14">
    <w:name w:val="正文01"/>
    <w:basedOn w:val="1"/>
    <w:qFormat/>
    <w:uiPriority w:val="0"/>
    <w:pPr>
      <w:spacing w:before="60" w:line="460" w:lineRule="exact"/>
      <w:ind w:firstLine="200" w:firstLineChars="200"/>
    </w:pPr>
    <w:rPr>
      <w:rFonts w:ascii="Arial" w:hAnsi="Arial"/>
      <w:sz w:val="24"/>
      <w:szCs w:val="20"/>
    </w:rPr>
  </w:style>
  <w:style w:type="character" w:customStyle="1" w:styleId="15">
    <w:name w:val="标题 2 Char"/>
    <w:link w:val="3"/>
    <w:uiPriority w:val="0"/>
    <w:rPr>
      <w:rFonts w:ascii="华文新魏" w:hAnsi="Arial" w:eastAsia="仿宋" w:cs="Times New Roman"/>
      <w:b/>
      <w:bCs/>
      <w:kern w:val="0"/>
      <w:sz w:val="24"/>
      <w:szCs w:val="32"/>
    </w:rPr>
  </w:style>
  <w:style w:type="paragraph" w:customStyle="1" w:styleId="16">
    <w:name w:val="_Style 1"/>
    <w:basedOn w:val="1"/>
    <w:qFormat/>
    <w:uiPriority w:val="0"/>
    <w:pPr>
      <w:widowControl w:val="0"/>
      <w:ind w:firstLine="420" w:firstLineChars="200"/>
      <w:jc w:val="both"/>
    </w:pPr>
    <w:rPr>
      <w:rFonts w:ascii="Calibri" w:hAnsi="Calibri" w:cs="Times New Roman"/>
      <w:kern w:val="2"/>
      <w:sz w:val="21"/>
      <w:szCs w:val="22"/>
    </w:rPr>
  </w:style>
  <w:style w:type="paragraph" w:customStyle="1" w:styleId="17">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glossaryDocument" Target="glossary/document.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3610855-36ff-45ba-b37e-586f3b9fd3c5}"/>
        <w:style w:val=""/>
        <w:category>
          <w:name w:val="常规"/>
          <w:gallery w:val="placeholder"/>
        </w:category>
        <w:types>
          <w:type w:val="bbPlcHdr"/>
        </w:types>
        <w:behaviors>
          <w:behavior w:val="content"/>
        </w:behaviors>
        <w:description w:val=""/>
        <w:guid w:val="{53610855-36ff-45ba-b37e-586f3b9fd3c5}"/>
      </w:docPartPr>
      <w:docPartBody>
        <w:p>
          <w:r>
            <w:rPr>
              <w:color w:val="808080"/>
            </w:rPr>
            <w:t>单击此处输入文字。</w:t>
          </w:r>
        </w:p>
      </w:docPartBody>
    </w:docPart>
    <w:docPart>
      <w:docPartPr>
        <w:name w:val="{66919170-628d-4b33-85bb-0f33a3721b93}"/>
        <w:style w:val=""/>
        <w:category>
          <w:name w:val="常规"/>
          <w:gallery w:val="placeholder"/>
        </w:category>
        <w:types>
          <w:type w:val="bbPlcHdr"/>
        </w:types>
        <w:behaviors>
          <w:behavior w:val="content"/>
        </w:behaviors>
        <w:description w:val=""/>
        <w:guid w:val="{66919170-628d-4b33-85bb-0f33a3721b93}"/>
      </w:docPartPr>
      <w:docPartBody>
        <w:p>
          <w:r>
            <w:rPr>
              <w:color w:val="808080"/>
            </w:rPr>
            <w:t>单击此处输入文字。</w:t>
          </w:r>
        </w:p>
      </w:docPartBody>
    </w:docPart>
    <w:docPart>
      <w:docPartPr>
        <w:name w:val="{15771bf3-e299-4859-9d24-96b18d75694a}"/>
        <w:style w:val=""/>
        <w:category>
          <w:name w:val="常规"/>
          <w:gallery w:val="placeholder"/>
        </w:category>
        <w:types>
          <w:type w:val="bbPlcHdr"/>
        </w:types>
        <w:behaviors>
          <w:behavior w:val="content"/>
        </w:behaviors>
        <w:description w:val=""/>
        <w:guid w:val="{15771bf3-e299-4859-9d24-96b18d75694a}"/>
      </w:docPartPr>
      <w:docPartBody>
        <w:p>
          <w:r>
            <w:rPr>
              <w:color w:val="808080"/>
            </w:rPr>
            <w:t>单击此处输入文字。</w:t>
          </w:r>
        </w:p>
      </w:docPartBody>
    </w:docPart>
    <w:docPart>
      <w:docPartPr>
        <w:name w:val="{a71d27e4-4557-4969-86c0-b0e25862ef4a}"/>
        <w:style w:val=""/>
        <w:category>
          <w:name w:val="常规"/>
          <w:gallery w:val="placeholder"/>
        </w:category>
        <w:types>
          <w:type w:val="bbPlcHdr"/>
        </w:types>
        <w:behaviors>
          <w:behavior w:val="content"/>
        </w:behaviors>
        <w:description w:val=""/>
        <w:guid w:val="{a71d27e4-4557-4969-86c0-b0e25862ef4a}"/>
      </w:docPartPr>
      <w:docPartBody>
        <w:p>
          <w:r>
            <w:rPr>
              <w:color w:val="808080"/>
            </w:rPr>
            <w:t>单击此处输入文字。</w:t>
          </w:r>
        </w:p>
      </w:docPartBody>
    </w:docPart>
    <w:docPart>
      <w:docPartPr>
        <w:name w:val="{df3453e9-83d2-41b7-830f-43ba33468bbd}"/>
        <w:style w:val=""/>
        <w:category>
          <w:name w:val="常规"/>
          <w:gallery w:val="placeholder"/>
        </w:category>
        <w:types>
          <w:type w:val="bbPlcHdr"/>
        </w:types>
        <w:behaviors>
          <w:behavior w:val="content"/>
        </w:behaviors>
        <w:description w:val=""/>
        <w:guid w:val="{df3453e9-83d2-41b7-830f-43ba33468bbd}"/>
      </w:docPartPr>
      <w:docPartBody>
        <w:p>
          <w:r>
            <w:rPr>
              <w:color w:val="808080"/>
            </w:rPr>
            <w:t>单击此处输入文字。</w:t>
          </w:r>
        </w:p>
      </w:docPartBody>
    </w:docPart>
    <w:docPart>
      <w:docPartPr>
        <w:name w:val="{4e335d49-0980-475e-b731-da127d4d2035}"/>
        <w:style w:val=""/>
        <w:category>
          <w:name w:val="常规"/>
          <w:gallery w:val="placeholder"/>
        </w:category>
        <w:types>
          <w:type w:val="bbPlcHdr"/>
        </w:types>
        <w:behaviors>
          <w:behavior w:val="content"/>
        </w:behaviors>
        <w:description w:val=""/>
        <w:guid w:val="{4e335d49-0980-475e-b731-da127d4d2035}"/>
      </w:docPartPr>
      <w:docPartBody>
        <w:p>
          <w:r>
            <w:rPr>
              <w:color w:val="808080"/>
            </w:rPr>
            <w:t>单击此处输入文字。</w:t>
          </w:r>
        </w:p>
      </w:docPartBody>
    </w:docPart>
    <w:docPart>
      <w:docPartPr>
        <w:name w:val="{b98c1493-2a9c-43bf-87ac-cfc5ca0deb8f}"/>
        <w:style w:val=""/>
        <w:category>
          <w:name w:val="常规"/>
          <w:gallery w:val="placeholder"/>
        </w:category>
        <w:types>
          <w:type w:val="bbPlcHdr"/>
        </w:types>
        <w:behaviors>
          <w:behavior w:val="content"/>
        </w:behaviors>
        <w:description w:val=""/>
        <w:guid w:val="{b98c1493-2a9c-43bf-87ac-cfc5ca0deb8f}"/>
      </w:docPartPr>
      <w:docPartBody>
        <w:p>
          <w:r>
            <w:rPr>
              <w:color w:val="808080"/>
            </w:rPr>
            <w:t>单击此处输入文字。</w:t>
          </w:r>
        </w:p>
      </w:docPartBody>
    </w:docPart>
    <w:docPart>
      <w:docPartPr>
        <w:name w:val="{0fe844f7-fdd1-4c83-870e-09e72e7a7c6d}"/>
        <w:style w:val=""/>
        <w:category>
          <w:name w:val="常规"/>
          <w:gallery w:val="placeholder"/>
        </w:category>
        <w:types>
          <w:type w:val="bbPlcHdr"/>
        </w:types>
        <w:behaviors>
          <w:behavior w:val="content"/>
        </w:behaviors>
        <w:description w:val=""/>
        <w:guid w:val="{0fe844f7-fdd1-4c83-870e-09e72e7a7c6d}"/>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2049"/>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10</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2018-08-07T07:18:00Z</dcterms:created>
  <dc:creator>陌上花开</dc:creator>
  <cp:lastModifiedBy>陌上花开</cp:lastModifiedBy>
  <dcterms:modified xsi:type="dcterms:W3CDTF">2018-08-15T09:59:10Z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